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7F51" w14:textId="3F548BDB" w:rsidR="0065731F" w:rsidRDefault="00354823" w:rsidP="00354823">
      <w:pPr>
        <w:ind w:firstLineChars="100" w:firstLine="361"/>
        <w:jc w:val="center"/>
        <w:rPr>
          <w:rFonts w:asciiTheme="minorEastAsia" w:hAnsiTheme="minorEastAsia" w:cstheme="minorEastAsia"/>
          <w:b/>
          <w:bCs/>
          <w:sz w:val="36"/>
          <w:szCs w:val="36"/>
        </w:rPr>
      </w:pPr>
      <w:r w:rsidRPr="00354823">
        <w:rPr>
          <w:rFonts w:ascii="宋体" w:hAnsi="宋体" w:cs="宋体" w:hint="eastAsia"/>
          <w:b/>
          <w:bCs/>
          <w:sz w:val="36"/>
          <w:szCs w:val="36"/>
        </w:rPr>
        <w:t>数字图书馆</w:t>
      </w:r>
      <w:r>
        <w:rPr>
          <w:rFonts w:ascii="宋体" w:hAnsi="宋体" w:cs="宋体" w:hint="eastAsia"/>
          <w:b/>
          <w:bCs/>
          <w:sz w:val="36"/>
          <w:szCs w:val="36"/>
        </w:rPr>
        <w:t>采购合同</w:t>
      </w:r>
    </w:p>
    <w:p w14:paraId="2E5B1427" w14:textId="77777777" w:rsidR="0065731F" w:rsidRDefault="0065731F">
      <w:pPr>
        <w:ind w:firstLineChars="1100" w:firstLine="3080"/>
        <w:rPr>
          <w:rFonts w:asciiTheme="minorEastAsia" w:eastAsiaTheme="minorEastAsia" w:hAnsiTheme="minorEastAsia" w:cstheme="minorEastAsia"/>
          <w:sz w:val="28"/>
          <w:szCs w:val="28"/>
        </w:rPr>
      </w:pPr>
    </w:p>
    <w:p w14:paraId="17296211" w14:textId="1D5A029B" w:rsidR="0065731F" w:rsidRDefault="00354823" w:rsidP="00354823">
      <w:pPr>
        <w:ind w:firstLineChars="1500" w:firstLine="42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合同编号：</w:t>
      </w:r>
      <w:proofErr w:type="gramStart"/>
      <w:r>
        <w:rPr>
          <w:rFonts w:asciiTheme="minorEastAsia" w:eastAsiaTheme="minorEastAsia" w:hAnsiTheme="minorEastAsia" w:cstheme="minorEastAsia" w:hint="eastAsia"/>
          <w:sz w:val="28"/>
          <w:szCs w:val="28"/>
        </w:rPr>
        <w:t>豫财单一</w:t>
      </w:r>
      <w:proofErr w:type="gramEnd"/>
      <w:r>
        <w:rPr>
          <w:rFonts w:asciiTheme="minorEastAsia" w:eastAsiaTheme="minorEastAsia" w:hAnsiTheme="minorEastAsia" w:cstheme="minorEastAsia" w:hint="eastAsia"/>
          <w:sz w:val="28"/>
          <w:szCs w:val="28"/>
        </w:rPr>
        <w:t xml:space="preserve">采购-2025-149-16                     </w:t>
      </w:r>
    </w:p>
    <w:p w14:paraId="3C979AB6" w14:textId="77777777" w:rsidR="0065731F" w:rsidRDefault="0065731F">
      <w:pPr>
        <w:rPr>
          <w:rFonts w:asciiTheme="minorEastAsia" w:eastAsiaTheme="minorEastAsia" w:hAnsiTheme="minorEastAsia" w:cstheme="minorEastAsia"/>
          <w:sz w:val="28"/>
          <w:szCs w:val="28"/>
        </w:rPr>
      </w:pPr>
    </w:p>
    <w:p w14:paraId="63E5243A" w14:textId="66653A12"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sz w:val="28"/>
          <w:szCs w:val="28"/>
        </w:rPr>
        <w:t xml:space="preserve">甲方：安阳师范学院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hint="eastAsia"/>
          <w:b/>
          <w:bCs/>
          <w:sz w:val="28"/>
          <w:szCs w:val="28"/>
        </w:rPr>
        <w:t>乙方：河南</w:t>
      </w:r>
      <w:proofErr w:type="gramStart"/>
      <w:r>
        <w:rPr>
          <w:rFonts w:asciiTheme="minorEastAsia" w:eastAsiaTheme="minorEastAsia" w:hAnsiTheme="minorEastAsia" w:cstheme="minorEastAsia" w:hint="eastAsia"/>
          <w:b/>
          <w:bCs/>
          <w:sz w:val="28"/>
          <w:szCs w:val="28"/>
        </w:rPr>
        <w:t>鸿之儒文化</w:t>
      </w:r>
      <w:proofErr w:type="gramEnd"/>
      <w:r>
        <w:rPr>
          <w:rFonts w:asciiTheme="minorEastAsia" w:eastAsiaTheme="minorEastAsia" w:hAnsiTheme="minorEastAsia" w:cstheme="minorEastAsia" w:hint="eastAsia"/>
          <w:b/>
          <w:bCs/>
          <w:sz w:val="28"/>
          <w:szCs w:val="28"/>
        </w:rPr>
        <w:t>传播有限公司</w:t>
      </w:r>
      <w:r>
        <w:rPr>
          <w:rFonts w:asciiTheme="minorEastAsia" w:eastAsiaTheme="minorEastAsia" w:hAnsiTheme="minorEastAsia" w:cstheme="minorEastAsia" w:hint="eastAsia"/>
          <w:sz w:val="28"/>
          <w:szCs w:val="28"/>
        </w:rPr>
        <w:t xml:space="preserve">                                        </w:t>
      </w:r>
    </w:p>
    <w:p w14:paraId="31E57E53" w14:textId="77777777" w:rsidR="0065731F" w:rsidRDefault="0065731F">
      <w:pPr>
        <w:ind w:firstLineChars="200" w:firstLine="560"/>
        <w:rPr>
          <w:rFonts w:asciiTheme="minorEastAsia" w:eastAsiaTheme="minorEastAsia" w:hAnsiTheme="minorEastAsia" w:cstheme="minorEastAsia"/>
          <w:sz w:val="28"/>
          <w:szCs w:val="28"/>
        </w:rPr>
      </w:pPr>
    </w:p>
    <w:p w14:paraId="63D8186B" w14:textId="77777777" w:rsidR="0065731F" w:rsidRDefault="00354823">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依据《中华人民共和国民法典》、《中华人民共和国政府采购法》及安阳师范学院2026年度中外文数据库采购项目（招标编号：</w:t>
      </w:r>
      <w:proofErr w:type="gramStart"/>
      <w:r>
        <w:rPr>
          <w:rFonts w:asciiTheme="minorEastAsia" w:eastAsiaTheme="minorEastAsia" w:hAnsiTheme="minorEastAsia" w:cstheme="minorEastAsia" w:hint="eastAsia"/>
          <w:sz w:val="28"/>
          <w:szCs w:val="28"/>
        </w:rPr>
        <w:t>豫财单一</w:t>
      </w:r>
      <w:proofErr w:type="gramEnd"/>
      <w:r>
        <w:rPr>
          <w:rFonts w:asciiTheme="minorEastAsia" w:eastAsiaTheme="minorEastAsia" w:hAnsiTheme="minorEastAsia" w:cstheme="minorEastAsia" w:hint="eastAsia"/>
          <w:sz w:val="28"/>
          <w:szCs w:val="28"/>
        </w:rPr>
        <w:t>采购-2025-149、包16）招标结果，现就甲方向乙方订购《数字图书馆》及有关事宜，双方本着诚实信用的原则，协商一致并签订本合同，双方共同遵守。</w:t>
      </w:r>
    </w:p>
    <w:p w14:paraId="2BE31C77" w14:textId="77777777" w:rsidR="0065731F" w:rsidRDefault="00354823">
      <w:pPr>
        <w:tabs>
          <w:tab w:val="left" w:pos="360"/>
        </w:tabs>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一、产品名称、数量、型号、金额</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3375"/>
        <w:gridCol w:w="550"/>
        <w:gridCol w:w="1860"/>
        <w:gridCol w:w="1850"/>
      </w:tblGrid>
      <w:tr w:rsidR="0065731F" w14:paraId="077F7A26" w14:textId="77777777">
        <w:trPr>
          <w:trHeight w:val="222"/>
          <w:jc w:val="center"/>
        </w:trPr>
        <w:tc>
          <w:tcPr>
            <w:tcW w:w="2231" w:type="dxa"/>
          </w:tcPr>
          <w:p w14:paraId="37EA472D" w14:textId="77777777" w:rsidR="0065731F" w:rsidRDefault="00354823">
            <w:pPr>
              <w:tabs>
                <w:tab w:val="left" w:pos="360"/>
              </w:tabs>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标的物名称</w:t>
            </w:r>
          </w:p>
        </w:tc>
        <w:tc>
          <w:tcPr>
            <w:tcW w:w="3375" w:type="dxa"/>
          </w:tcPr>
          <w:p w14:paraId="01C4B910" w14:textId="77777777" w:rsidR="0065731F" w:rsidRDefault="00354823">
            <w:pPr>
              <w:tabs>
                <w:tab w:val="left" w:pos="360"/>
              </w:tabs>
              <w:spacing w:line="360" w:lineRule="auto"/>
              <w:ind w:firstLineChars="200" w:firstLine="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技术参数</w:t>
            </w:r>
          </w:p>
        </w:tc>
        <w:tc>
          <w:tcPr>
            <w:tcW w:w="550" w:type="dxa"/>
          </w:tcPr>
          <w:p w14:paraId="0A573466" w14:textId="77777777" w:rsidR="0065731F" w:rsidRDefault="00354823">
            <w:pPr>
              <w:tabs>
                <w:tab w:val="left" w:pos="360"/>
              </w:tabs>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1860" w:type="dxa"/>
          </w:tcPr>
          <w:p w14:paraId="221B8481" w14:textId="77777777" w:rsidR="0065731F" w:rsidRDefault="00354823">
            <w:pPr>
              <w:tabs>
                <w:tab w:val="left" w:pos="360"/>
              </w:tabs>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单价（元）</w:t>
            </w:r>
          </w:p>
        </w:tc>
        <w:tc>
          <w:tcPr>
            <w:tcW w:w="1850" w:type="dxa"/>
          </w:tcPr>
          <w:p w14:paraId="6B5FB976" w14:textId="77777777" w:rsidR="0065731F" w:rsidRDefault="00354823">
            <w:pPr>
              <w:tabs>
                <w:tab w:val="left" w:pos="360"/>
              </w:tabs>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金额（元）</w:t>
            </w:r>
          </w:p>
        </w:tc>
      </w:tr>
      <w:tr w:rsidR="0065731F" w14:paraId="79E2CFA5" w14:textId="77777777">
        <w:trPr>
          <w:trHeight w:val="222"/>
          <w:jc w:val="center"/>
        </w:trPr>
        <w:tc>
          <w:tcPr>
            <w:tcW w:w="2231" w:type="dxa"/>
          </w:tcPr>
          <w:p w14:paraId="37C236A1" w14:textId="77777777" w:rsidR="0065731F" w:rsidRDefault="00354823">
            <w:pPr>
              <w:tabs>
                <w:tab w:val="left" w:pos="360"/>
              </w:tabs>
              <w:spacing w:line="360" w:lineRule="auto"/>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数字图书馆</w:t>
            </w:r>
          </w:p>
        </w:tc>
        <w:tc>
          <w:tcPr>
            <w:tcW w:w="3375" w:type="dxa"/>
          </w:tcPr>
          <w:p w14:paraId="0D421CF0" w14:textId="77777777" w:rsidR="0065731F" w:rsidRDefault="00354823">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（一）前台功能参数</w:t>
            </w:r>
          </w:p>
          <w:p w14:paraId="590AF75D" w14:textId="77777777" w:rsidR="0065731F" w:rsidRDefault="00354823">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1.整合阅读资源,统一发布和管理:平台</w:t>
            </w:r>
            <w:proofErr w:type="gramStart"/>
            <w:r>
              <w:rPr>
                <w:rFonts w:ascii="宋体" w:hAnsi="宋体" w:cs="宋体" w:hint="eastAsia"/>
                <w:kern w:val="0"/>
                <w:sz w:val="18"/>
                <w:szCs w:val="18"/>
                <w:lang w:bidi="ar"/>
              </w:rPr>
              <w:t>须支持</w:t>
            </w:r>
            <w:proofErr w:type="gramEnd"/>
            <w:r>
              <w:rPr>
                <w:rFonts w:ascii="宋体" w:hAnsi="宋体" w:cs="宋体" w:hint="eastAsia"/>
                <w:kern w:val="0"/>
                <w:sz w:val="18"/>
                <w:szCs w:val="18"/>
                <w:lang w:bidi="ar"/>
              </w:rPr>
              <w:t>电子图书、音频、自有资源等多媒体资源管理展示；2.平台须提供电子图书元数据书名、作者、出版社等综合检索与元数据字段精准检索服务,支持多类型资源如电子图书、音频、校本等资源检索服务；3.举办读书活动:</w:t>
            </w:r>
            <w:proofErr w:type="gramStart"/>
            <w:r>
              <w:rPr>
                <w:rFonts w:ascii="宋体" w:hAnsi="宋体" w:cs="宋体" w:hint="eastAsia"/>
                <w:kern w:val="0"/>
                <w:sz w:val="18"/>
                <w:szCs w:val="18"/>
                <w:lang w:bidi="ar"/>
              </w:rPr>
              <w:t>须支持</w:t>
            </w:r>
            <w:proofErr w:type="gramEnd"/>
            <w:r>
              <w:rPr>
                <w:rFonts w:ascii="宋体" w:hAnsi="宋体" w:cs="宋体" w:hint="eastAsia"/>
                <w:kern w:val="0"/>
                <w:sz w:val="18"/>
                <w:szCs w:val="18"/>
                <w:lang w:bidi="ar"/>
              </w:rPr>
              <w:t>管理员在本平台发起读书活动,每个活动可以单独选择需要的图书,同时举办者可发布活动内容通告、活动图片;参与活动用户可以上</w:t>
            </w:r>
            <w:proofErr w:type="gramStart"/>
            <w:r>
              <w:rPr>
                <w:rFonts w:ascii="宋体" w:hAnsi="宋体" w:cs="宋体" w:hint="eastAsia"/>
                <w:kern w:val="0"/>
                <w:sz w:val="18"/>
                <w:szCs w:val="18"/>
                <w:lang w:bidi="ar"/>
              </w:rPr>
              <w:t>传活动</w:t>
            </w:r>
            <w:proofErr w:type="gramEnd"/>
            <w:r>
              <w:rPr>
                <w:rFonts w:ascii="宋体" w:hAnsi="宋体" w:cs="宋体" w:hint="eastAsia"/>
                <w:kern w:val="0"/>
                <w:sz w:val="18"/>
                <w:szCs w:val="18"/>
                <w:lang w:bidi="ar"/>
              </w:rPr>
              <w:t>作品；4.提供个人阅读管理空间，可以支持当前借阅图书数据、历史图书借阅数据、我的收藏、读书笔记、书评、我参与的活动、个人中心设置等功能；5.图书阅读:系统提供数字图书在线浏览；</w:t>
            </w:r>
            <w:r>
              <w:rPr>
                <w:rFonts w:ascii="宋体" w:hAnsi="宋体" w:cs="宋体" w:hint="eastAsia"/>
                <w:kern w:val="0"/>
                <w:sz w:val="18"/>
                <w:szCs w:val="18"/>
                <w:lang w:bidi="ar"/>
              </w:rPr>
              <w:lastRenderedPageBreak/>
              <w:t>针对每本图书还可以“收藏”到个人图书馆；可以发表和查看相关评论；电子图书内容方便复制、粘贴，拷贝表格，便于读者使用；具有字体放大、缩小、变换背景颜色、界面旋转等功能；可以直接跳转到指定的页面、翻到首末；阅读器阅读支持用户将书下载到个人阅读空间；阅读器提供书签功能，支持用户自主插入书签，支持用户浏览插入的所有书签，并快速定位到已有书签页。6.图书分类浏览,为专业读者提供国家标准权威中图法分类检索图书,平台须提供自定义分类管理功能，管理员可通过此功能设置图书自定义分类；7.平台提供资讯动态编辑发布服务,提高平台综合信息利用水平；</w:t>
            </w:r>
          </w:p>
          <w:p w14:paraId="39EF70BF" w14:textId="77777777" w:rsidR="0065731F" w:rsidRDefault="00354823">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（二）后台管理参数</w:t>
            </w:r>
          </w:p>
          <w:p w14:paraId="66CF4C0E" w14:textId="77777777" w:rsidR="0065731F" w:rsidRDefault="00354823" w:rsidP="00354823">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1.后台管理系统功能模块部分:采用WEB浏览方式访问,管理员在PC终端上都能进入管理界面； 2.平台系统设置:系统管理员还可以修改平台首页的Banner、定制导航菜单设置；3.网站内容管理:</w:t>
            </w:r>
            <w:proofErr w:type="gramStart"/>
            <w:r>
              <w:rPr>
                <w:rFonts w:ascii="宋体" w:hAnsi="宋体" w:cs="宋体" w:hint="eastAsia"/>
                <w:kern w:val="0"/>
                <w:sz w:val="18"/>
                <w:szCs w:val="18"/>
                <w:lang w:bidi="ar"/>
              </w:rPr>
              <w:t>须支持</w:t>
            </w:r>
            <w:proofErr w:type="gramEnd"/>
            <w:r>
              <w:rPr>
                <w:rFonts w:ascii="宋体" w:hAnsi="宋体" w:cs="宋体" w:hint="eastAsia"/>
                <w:kern w:val="0"/>
                <w:sz w:val="18"/>
                <w:szCs w:val="18"/>
                <w:lang w:bidi="ar"/>
              </w:rPr>
              <w:t>添加链接和图书推荐设置功能；4.用户管理:支持用户信息批量导入功能,且支持对用户信息进行增删、修改等功能；5.图书资源管理:支持图书借还、图书上下架、书评、添加读书笔记以及第三方资源导入等功能；6.自有资源管理:提供管理员自有资源发布和管理。可自定义对自有资源进行分类；管理员可对上传的资源进行管理、删除,防止无效资源的随意上传； 7.统计服务管理:多种数据统计,支持使用数据统计:系统管理员可以查看平台的统计数据,包括综合统计、图书排行榜、读者排行榜、图书分类阅读量等统计模块；8.内容推荐:支持列表显示数字图书馆内容资源库中的各类内容资源,显示的信息包括书名、作者、出版社、出版日期等。管理员可通过书名、作者、出版社等方式对图书进行检索，并可对其进行推荐。已推荐的图书可在推荐列表中查看；9.分类管理:可根据资源内容的专业不同，自定义一二级分类，并可分类进行修改和删除等操作；10.书评管理:</w:t>
            </w:r>
            <w:proofErr w:type="gramStart"/>
            <w:r>
              <w:rPr>
                <w:rFonts w:ascii="宋体" w:hAnsi="宋体" w:cs="宋体" w:hint="eastAsia"/>
                <w:kern w:val="0"/>
                <w:sz w:val="18"/>
                <w:szCs w:val="18"/>
                <w:lang w:bidi="ar"/>
              </w:rPr>
              <w:t>须支持</w:t>
            </w:r>
            <w:proofErr w:type="gramEnd"/>
            <w:r>
              <w:rPr>
                <w:rFonts w:ascii="宋体" w:hAnsi="宋体" w:cs="宋体" w:hint="eastAsia"/>
                <w:kern w:val="0"/>
                <w:sz w:val="18"/>
                <w:szCs w:val="18"/>
                <w:lang w:bidi="ar"/>
              </w:rPr>
              <w:t>管理员对读者的书评进行管理，管理员可根</w:t>
            </w:r>
            <w:r>
              <w:rPr>
                <w:rFonts w:ascii="宋体" w:hAnsi="宋体" w:cs="宋体" w:hint="eastAsia"/>
                <w:kern w:val="0"/>
                <w:sz w:val="18"/>
                <w:szCs w:val="18"/>
                <w:lang w:bidi="ar"/>
              </w:rPr>
              <w:lastRenderedPageBreak/>
              <w:t>据评论时间、读者信息进行书评筛选，并对书评进行已审核、删除、置顶等操作；11.快捷功能：</w:t>
            </w:r>
            <w:proofErr w:type="gramStart"/>
            <w:r>
              <w:rPr>
                <w:rFonts w:ascii="宋体" w:hAnsi="宋体" w:cs="宋体" w:hint="eastAsia"/>
                <w:kern w:val="0"/>
                <w:sz w:val="18"/>
                <w:szCs w:val="18"/>
                <w:lang w:bidi="ar"/>
              </w:rPr>
              <w:t>须支持</w:t>
            </w:r>
            <w:proofErr w:type="gramEnd"/>
            <w:r>
              <w:rPr>
                <w:rFonts w:ascii="宋体" w:hAnsi="宋体" w:cs="宋体" w:hint="eastAsia"/>
                <w:kern w:val="0"/>
                <w:sz w:val="18"/>
                <w:szCs w:val="18"/>
                <w:lang w:bidi="ar"/>
              </w:rPr>
              <w:t>平台设置快速跳转首页的快捷功能按键；12.扩展:可实现与 OPAC 系统集成，实现纸质馆藏文献的移动检索与自助服务，可提供图书marc数据。</w:t>
            </w:r>
          </w:p>
          <w:p w14:paraId="39E4ECAD" w14:textId="77777777" w:rsidR="0065731F" w:rsidRDefault="00354823" w:rsidP="00354823">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（三）数据资源参数</w:t>
            </w:r>
          </w:p>
          <w:p w14:paraId="220557F7" w14:textId="77777777" w:rsidR="0065731F" w:rsidRPr="00354823" w:rsidRDefault="00354823" w:rsidP="00354823">
            <w:pPr>
              <w:tabs>
                <w:tab w:val="left" w:pos="360"/>
              </w:tabs>
              <w:ind w:firstLineChars="200" w:firstLine="360"/>
              <w:jc w:val="left"/>
              <w:rPr>
                <w:rFonts w:ascii="宋体" w:hAnsi="宋体" w:cs="宋体"/>
                <w:kern w:val="0"/>
                <w:sz w:val="18"/>
                <w:szCs w:val="18"/>
                <w:lang w:bidi="ar"/>
              </w:rPr>
            </w:pPr>
            <w:r>
              <w:rPr>
                <w:rFonts w:ascii="宋体" w:hAnsi="宋体" w:cs="宋体" w:hint="eastAsia"/>
                <w:kern w:val="0"/>
                <w:sz w:val="18"/>
                <w:szCs w:val="18"/>
                <w:lang w:bidi="ar"/>
              </w:rPr>
              <w:t>1. 数据内容涵盖全面，覆盖中图分类法22个大类，并具备分类导航功能。2. 具备先进的中文文字处理技术，保持图书原有的版式和原貌，包括复杂的图表、公式等;3.采用先进的技术压缩处理，最大限度降低对存储空间的要求;4.图书元数据信息包括书名、ISBN、作者、版别等类型分类等;5. 图书按照《中国图书馆分类法》分类，并支持全文检索;6.资源格式:电子图书须为TXT、PDF、EPUB格式而非扫描文件格式,以保证图书的阅读体验和阅读质量；需要拥有100万种可选资源，包含经过中央宣传部授权的“新时代新经典”系列资源。7.将客户自主挑选的1.2万册由中文在线正式授权的正版电子图书进行本地安装。</w:t>
            </w:r>
          </w:p>
        </w:tc>
        <w:tc>
          <w:tcPr>
            <w:tcW w:w="550" w:type="dxa"/>
          </w:tcPr>
          <w:p w14:paraId="4FC3CC30" w14:textId="77777777" w:rsidR="0065731F" w:rsidRDefault="00354823">
            <w:pPr>
              <w:tabs>
                <w:tab w:val="left" w:pos="360"/>
              </w:tabs>
              <w:spacing w:line="36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1套</w:t>
            </w:r>
          </w:p>
        </w:tc>
        <w:tc>
          <w:tcPr>
            <w:tcW w:w="1860" w:type="dxa"/>
          </w:tcPr>
          <w:p w14:paraId="1B4CD1C5" w14:textId="77777777" w:rsidR="0065731F" w:rsidRDefault="00354823">
            <w:pPr>
              <w:tabs>
                <w:tab w:val="left" w:pos="360"/>
              </w:tabs>
              <w:spacing w:line="360" w:lineRule="auto"/>
              <w:ind w:firstLineChars="100" w:firstLine="28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29800.00</w:t>
            </w:r>
          </w:p>
        </w:tc>
        <w:tc>
          <w:tcPr>
            <w:tcW w:w="1850" w:type="dxa"/>
          </w:tcPr>
          <w:p w14:paraId="7BB8C01D" w14:textId="77777777" w:rsidR="0065731F" w:rsidRDefault="00354823">
            <w:pPr>
              <w:tabs>
                <w:tab w:val="left" w:pos="360"/>
              </w:tabs>
              <w:spacing w:line="360" w:lineRule="auto"/>
              <w:ind w:firstLineChars="100" w:firstLine="28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29800.00</w:t>
            </w:r>
          </w:p>
        </w:tc>
      </w:tr>
      <w:tr w:rsidR="0065731F" w14:paraId="274BFA92" w14:textId="77777777">
        <w:trPr>
          <w:trHeight w:val="438"/>
          <w:jc w:val="center"/>
        </w:trPr>
        <w:tc>
          <w:tcPr>
            <w:tcW w:w="2231" w:type="dxa"/>
          </w:tcPr>
          <w:p w14:paraId="7E5AACD5" w14:textId="77777777" w:rsidR="0065731F" w:rsidRDefault="00354823">
            <w:pPr>
              <w:tabs>
                <w:tab w:val="left" w:pos="360"/>
              </w:tabs>
              <w:spacing w:line="360" w:lineRule="auto"/>
              <w:ind w:firstLineChars="100" w:firstLine="28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合计（元）</w:t>
            </w:r>
          </w:p>
          <w:p w14:paraId="3BAF6249" w14:textId="77777777" w:rsidR="0065731F" w:rsidRDefault="00354823">
            <w:pPr>
              <w:tabs>
                <w:tab w:val="left" w:pos="360"/>
              </w:tabs>
              <w:spacing w:line="36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（即合同总价款）</w:t>
            </w:r>
          </w:p>
        </w:tc>
        <w:tc>
          <w:tcPr>
            <w:tcW w:w="7635" w:type="dxa"/>
            <w:gridSpan w:val="4"/>
          </w:tcPr>
          <w:p w14:paraId="4C72EC32" w14:textId="77777777" w:rsidR="0065731F" w:rsidRDefault="00354823">
            <w:pPr>
              <w:tabs>
                <w:tab w:val="left" w:pos="360"/>
              </w:tabs>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大写：贰万玖仟捌佰元整</w:t>
            </w:r>
          </w:p>
          <w:p w14:paraId="60020B18" w14:textId="77777777" w:rsidR="0065731F" w:rsidRDefault="00354823">
            <w:pPr>
              <w:tabs>
                <w:tab w:val="left" w:pos="360"/>
              </w:tabs>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小写：29800.00</w:t>
            </w:r>
          </w:p>
        </w:tc>
      </w:tr>
      <w:tr w:rsidR="0065731F" w14:paraId="64663643" w14:textId="77777777">
        <w:trPr>
          <w:trHeight w:val="659"/>
          <w:jc w:val="center"/>
        </w:trPr>
        <w:tc>
          <w:tcPr>
            <w:tcW w:w="2231" w:type="dxa"/>
          </w:tcPr>
          <w:p w14:paraId="09E7F097" w14:textId="77777777" w:rsidR="0065731F" w:rsidRDefault="00354823">
            <w:pPr>
              <w:tabs>
                <w:tab w:val="left" w:pos="360"/>
              </w:tabs>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说明</w:t>
            </w:r>
          </w:p>
        </w:tc>
        <w:tc>
          <w:tcPr>
            <w:tcW w:w="7635" w:type="dxa"/>
            <w:gridSpan w:val="4"/>
          </w:tcPr>
          <w:p w14:paraId="3056976D" w14:textId="77777777" w:rsidR="0065731F" w:rsidRDefault="00354823">
            <w:pPr>
              <w:tabs>
                <w:tab w:val="left" w:pos="360"/>
              </w:tabs>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总价款为包含预装软件、运输、保险、调试、运行、售后服务、培训等一切费用在内的安阳师范学院指定地点的交货价，该价在合同履行期间固定不变。</w:t>
            </w:r>
          </w:p>
        </w:tc>
      </w:tr>
    </w:tbl>
    <w:p w14:paraId="770BDDC6"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二、合同履行的地点、时间及交货方式：</w:t>
      </w:r>
    </w:p>
    <w:p w14:paraId="7CBB111C"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2.1服务地点：甲方指定地点。</w:t>
      </w:r>
    </w:p>
    <w:p w14:paraId="689B0FAA"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2.2质保期：一年。</w:t>
      </w:r>
    </w:p>
    <w:p w14:paraId="311FCA93"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2.3服务期：一年。</w:t>
      </w:r>
    </w:p>
    <w:p w14:paraId="7AE82101"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2.4质量标准：</w:t>
      </w:r>
      <w:r>
        <w:rPr>
          <w:rFonts w:asciiTheme="minorEastAsia" w:eastAsiaTheme="minorEastAsia" w:hAnsiTheme="minorEastAsia" w:cstheme="minorEastAsia" w:hint="eastAsia"/>
          <w:kern w:val="0"/>
          <w:sz w:val="28"/>
          <w:szCs w:val="28"/>
        </w:rPr>
        <w:t>符合国家或行业标准，满足甲方提出的服务标准和要求</w:t>
      </w:r>
      <w:r>
        <w:rPr>
          <w:rFonts w:asciiTheme="minorEastAsia" w:eastAsiaTheme="minorEastAsia" w:hAnsiTheme="minorEastAsia" w:cstheme="minorEastAsia" w:hint="eastAsia"/>
          <w:sz w:val="28"/>
          <w:szCs w:val="28"/>
        </w:rPr>
        <w:t>。</w:t>
      </w:r>
    </w:p>
    <w:p w14:paraId="019EEB0B" w14:textId="529C4DD6"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三、付款方式</w:t>
      </w:r>
    </w:p>
    <w:p w14:paraId="7325FB6B"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3.1支付方式： 银行</w:t>
      </w:r>
      <w:proofErr w:type="gramStart"/>
      <w:r>
        <w:rPr>
          <w:rFonts w:asciiTheme="minorEastAsia" w:eastAsiaTheme="minorEastAsia" w:hAnsiTheme="minorEastAsia" w:cstheme="minorEastAsia" w:hint="eastAsia"/>
          <w:sz w:val="28"/>
          <w:szCs w:val="28"/>
        </w:rPr>
        <w:t>转帐</w:t>
      </w:r>
      <w:proofErr w:type="gramEnd"/>
      <w:r>
        <w:rPr>
          <w:rFonts w:asciiTheme="minorEastAsia" w:eastAsiaTheme="minorEastAsia" w:hAnsiTheme="minorEastAsia" w:cstheme="minorEastAsia" w:hint="eastAsia"/>
          <w:sz w:val="28"/>
          <w:szCs w:val="28"/>
        </w:rPr>
        <w:t xml:space="preserve">。               </w:t>
      </w:r>
    </w:p>
    <w:p w14:paraId="1FF50ED4" w14:textId="5162F42A"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3.2支付时间：2025年12月31日前支付全部合同金额。</w:t>
      </w:r>
    </w:p>
    <w:p w14:paraId="5B8CC51F"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3.3乙方账号信息：</w:t>
      </w:r>
    </w:p>
    <w:p w14:paraId="5A48E65C"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开户行：中国银行股份有限公司郑州锦江花园支行</w:t>
      </w:r>
    </w:p>
    <w:p w14:paraId="0026394D"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开户名： 河南</w:t>
      </w:r>
      <w:proofErr w:type="gramStart"/>
      <w:r>
        <w:rPr>
          <w:rFonts w:asciiTheme="minorEastAsia" w:eastAsiaTheme="minorEastAsia" w:hAnsiTheme="minorEastAsia" w:cstheme="minorEastAsia" w:hint="eastAsia"/>
          <w:sz w:val="28"/>
          <w:szCs w:val="28"/>
        </w:rPr>
        <w:t>鸿之儒文化</w:t>
      </w:r>
      <w:proofErr w:type="gramEnd"/>
      <w:r>
        <w:rPr>
          <w:rFonts w:asciiTheme="minorEastAsia" w:eastAsiaTheme="minorEastAsia" w:hAnsiTheme="minorEastAsia" w:cstheme="minorEastAsia" w:hint="eastAsia"/>
          <w:sz w:val="28"/>
          <w:szCs w:val="28"/>
        </w:rPr>
        <w:t>传播有限公司</w:t>
      </w:r>
    </w:p>
    <w:p w14:paraId="7F2FC28F" w14:textId="77777777" w:rsidR="0065731F" w:rsidRDefault="00354823">
      <w:pPr>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hint="eastAsia"/>
          <w:sz w:val="28"/>
          <w:szCs w:val="28"/>
        </w:rPr>
        <w:t>账</w:t>
      </w:r>
      <w:proofErr w:type="gramEnd"/>
      <w:r>
        <w:rPr>
          <w:rFonts w:asciiTheme="minorEastAsia" w:eastAsiaTheme="minorEastAsia" w:hAnsiTheme="minorEastAsia" w:cstheme="minorEastAsia" w:hint="eastAsia"/>
          <w:sz w:val="28"/>
          <w:szCs w:val="28"/>
        </w:rPr>
        <w:t xml:space="preserve">  号：2611 3672 0262</w:t>
      </w:r>
    </w:p>
    <w:p w14:paraId="3AD3D9F0"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四、技术标准和质量要求</w:t>
      </w:r>
    </w:p>
    <w:p w14:paraId="66B5ADD1"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4.1乙方所供服务的技术标准为国家标准，并与投标时承诺的质量相一致，以确保在使用时安全有效；</w:t>
      </w:r>
    </w:p>
    <w:p w14:paraId="58548FF6"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4.2乙方所供服务与响应文件承诺不一致时，甲方有权拒收乙方所送服务且拒付乙方已供服务的货款；</w:t>
      </w:r>
    </w:p>
    <w:p w14:paraId="7CBDD7F2"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4.3乙方在所供服务的质保期内，应对服务质量负责；因质量问题或其他问题需调换时，乙方应无条件调换。</w:t>
      </w:r>
    </w:p>
    <w:p w14:paraId="5B72F2B5"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4.4 乙方负责向甲方提供关于该合同中所规定产品使用及其它方面问题的咨询和技术支持，并根据甲方要求和实际需要提供使用培训；</w:t>
      </w:r>
    </w:p>
    <w:p w14:paraId="30716CAC"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4.5 乙方提供的产品或服务不会侵犯任何第三方的著作权、专利权或商标权，同时也</w:t>
      </w:r>
      <w:proofErr w:type="gramStart"/>
      <w:r>
        <w:rPr>
          <w:rFonts w:asciiTheme="minorEastAsia" w:eastAsiaTheme="minorEastAsia" w:hAnsiTheme="minorEastAsia" w:cstheme="minorEastAsia" w:hint="eastAsia"/>
          <w:sz w:val="28"/>
          <w:szCs w:val="28"/>
        </w:rPr>
        <w:t>不</w:t>
      </w:r>
      <w:proofErr w:type="gramEnd"/>
      <w:r>
        <w:rPr>
          <w:rFonts w:asciiTheme="minorEastAsia" w:eastAsiaTheme="minorEastAsia" w:hAnsiTheme="minorEastAsia" w:cstheme="minorEastAsia" w:hint="eastAsia"/>
          <w:sz w:val="28"/>
          <w:szCs w:val="28"/>
        </w:rPr>
        <w:t>侵害第三方的商业秘密和其他合法权益。</w:t>
      </w:r>
    </w:p>
    <w:p w14:paraId="7F7F2776"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五、 双方权利及义务</w:t>
      </w:r>
    </w:p>
    <w:p w14:paraId="40A009BC"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5.1 合同签订30个工作日内，乙方为甲方开通所购数据库的全部使用权限；</w:t>
      </w:r>
    </w:p>
    <w:p w14:paraId="62FF54A9"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5.2 甲方所购数据库发布系统版权系乙方所有，乙方授权甲方单位按照合</w:t>
      </w:r>
      <w:r>
        <w:rPr>
          <w:rFonts w:asciiTheme="minorEastAsia" w:eastAsiaTheme="minorEastAsia" w:hAnsiTheme="minorEastAsia" w:cstheme="minorEastAsia" w:hint="eastAsia"/>
          <w:sz w:val="28"/>
          <w:szCs w:val="28"/>
        </w:rPr>
        <w:lastRenderedPageBreak/>
        <w:t>同约定的方式使用。</w:t>
      </w:r>
    </w:p>
    <w:p w14:paraId="1A37D1EE"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5.3 本产品授权甲方单位使用（采用IP限制）；甲方应尊重乙方的知识产权，如出现恶意下载、转让、盗用数据除不享受以上服务外还应追究相应的法律责任。</w:t>
      </w:r>
    </w:p>
    <w:p w14:paraId="793CC51F"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5.4 甲方所购数据库内容知识产权如出现问题，由乙方负责。乙方保证甲方使用本合同约定范围内的产品，不会产生著作权或其他知识产权纠纷。如有第三方提出相关的知识产权诉讼，由此产生的一切法律责任由乙方全部承担。</w:t>
      </w:r>
    </w:p>
    <w:p w14:paraId="6C57FD00"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5.5 乙方负责产品的正常使用和维护，如出现技术故障，乙方应及时解决。</w:t>
      </w:r>
    </w:p>
    <w:p w14:paraId="0E60DB3A"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5.6 甲方自付款购买之日起，合同期限内享受乙方软件产品服务承诺中的各项售后服务；对该库软件系统升级、数据增量或更新甲方均不再付费。</w:t>
      </w:r>
    </w:p>
    <w:p w14:paraId="50590EAD"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5.7 在使用过程中，乙方提供优质技术服务，24小时远程支持，如遇乙方服务器调试，应及时通知甲方。</w:t>
      </w:r>
    </w:p>
    <w:p w14:paraId="150A8A55"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六、合同解除的条件</w:t>
      </w:r>
    </w:p>
    <w:p w14:paraId="0EBEAAF2"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6.1因不可抗力致使不能实现合同目的；</w:t>
      </w:r>
    </w:p>
    <w:p w14:paraId="534592A9"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6.2甲方不能按期结算货款，经催告后仍未在合同规定期限内履行付款义务；</w:t>
      </w:r>
    </w:p>
    <w:p w14:paraId="06538E23"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6.3乙方所提供的服务的技术参数、数量、质量和价格之中的任何一项与合同规定不相符合的；</w:t>
      </w:r>
    </w:p>
    <w:p w14:paraId="6FC4D2E3"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6.4乙方不能按照约定及时履行提供服务的义务，经催告后仍不能履行的，甲方有权取消其成交供应商资格。</w:t>
      </w:r>
    </w:p>
    <w:p w14:paraId="36CC2748" w14:textId="77777777" w:rsidR="0065731F" w:rsidRDefault="00354823">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6.5未经甲方书面同意，乙方全部或部分转让其合同的。</w:t>
      </w:r>
    </w:p>
    <w:p w14:paraId="467F54F7" w14:textId="42FB4A65" w:rsidR="0065731F" w:rsidRDefault="00F7341F" w:rsidP="00F7341F">
      <w:pPr>
        <w:rPr>
          <w:rFonts w:asciiTheme="minorEastAsia" w:eastAsiaTheme="minorEastAsia" w:hAnsiTheme="minorEastAsia" w:cstheme="minorEastAsia"/>
          <w:sz w:val="28"/>
          <w:szCs w:val="28"/>
        </w:rPr>
      </w:pPr>
      <w:bookmarkStart w:id="0" w:name="_GoBack"/>
      <w:r>
        <w:rPr>
          <w:rFonts w:asciiTheme="minorEastAsia" w:eastAsiaTheme="minorEastAsia" w:hAnsiTheme="minorEastAsia" w:cstheme="minorEastAsia"/>
          <w:noProof/>
          <w:sz w:val="28"/>
          <w:szCs w:val="28"/>
        </w:rPr>
        <w:lastRenderedPageBreak/>
        <w:drawing>
          <wp:inline distT="0" distB="0" distL="0" distR="0" wp14:anchorId="3D61E14E" wp14:editId="6808941F">
            <wp:extent cx="5731510" cy="82899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5-12-07 08.36_1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8289925"/>
                    </a:xfrm>
                    <a:prstGeom prst="rect">
                      <a:avLst/>
                    </a:prstGeom>
                  </pic:spPr>
                </pic:pic>
              </a:graphicData>
            </a:graphic>
          </wp:inline>
        </w:drawing>
      </w:r>
      <w:bookmarkEnd w:id="0"/>
    </w:p>
    <w:sectPr w:rsidR="0065731F" w:rsidSect="00354823">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31283"/>
    <w:rsid w:val="00354823"/>
    <w:rsid w:val="0065731F"/>
    <w:rsid w:val="00F7341F"/>
    <w:rsid w:val="08E31283"/>
    <w:rsid w:val="11915461"/>
    <w:rsid w:val="1EB25B5A"/>
    <w:rsid w:val="36766174"/>
    <w:rsid w:val="37551638"/>
    <w:rsid w:val="3D504924"/>
    <w:rsid w:val="3DD41AB1"/>
    <w:rsid w:val="3F1F4F1F"/>
    <w:rsid w:val="5DE2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2B2E0"/>
  <w15:docId w15:val="{637A6E3B-260C-467D-A1BC-95CC641F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AI升学 鑫睿轩教育科技 杨老师</dc:creator>
  <cp:lastModifiedBy>郑金婷</cp:lastModifiedBy>
  <cp:revision>3</cp:revision>
  <dcterms:created xsi:type="dcterms:W3CDTF">2025-11-27T01:19:00Z</dcterms:created>
  <dcterms:modified xsi:type="dcterms:W3CDTF">2025-12-07T01:39:00Z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34C8AF7317A7464A9B5026C7A7E40D42_11</vt:lpwstr>
  </property>
  <property fmtid="{D5CDD505-2E9C-101B-9397-08002B2CF9AE}" pid="4" name="KSOTemplateDocerSaveRecord">
    <vt:lpwstr>eyJoZGlkIjoiYjU2MzJhZDllMzY3MzFiYjIzZTcxZjlhYjM0M2NmMzMiLCJ1c2VySWQiOiIxMjI0NjI2Nzk2In0=</vt:lpwstr>
  </property>
</Properties>
</file>