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9F017C">
      <w:pPr>
        <w:spacing w:line="360" w:lineRule="auto"/>
        <w:jc w:val="center"/>
        <w:outlineLvl w:val="9"/>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开封市鼓楼区消防救援大队伙食配送</w:t>
      </w:r>
    </w:p>
    <w:p w14:paraId="57398E5B">
      <w:pPr>
        <w:spacing w:line="360" w:lineRule="auto"/>
        <w:jc w:val="center"/>
        <w:outlineLvl w:val="9"/>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定点单位采购项目</w:t>
      </w:r>
    </w:p>
    <w:p w14:paraId="05B63EBB">
      <w:pPr>
        <w:pStyle w:val="5"/>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564D8D61">
      <w:pPr>
        <w:pStyle w:val="5"/>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0C7DC368">
      <w:pPr>
        <w:pStyle w:val="5"/>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1D9ACE6A">
      <w:pPr>
        <w:spacing w:line="360" w:lineRule="auto"/>
        <w:jc w:val="both"/>
        <w:rPr>
          <w:rFonts w:hint="eastAsia" w:ascii="仿宋" w:hAnsi="仿宋" w:eastAsia="仿宋" w:cs="仿宋"/>
          <w:b/>
          <w:bCs/>
          <w:sz w:val="72"/>
          <w:szCs w:val="72"/>
          <w:highlight w:val="none"/>
        </w:rPr>
      </w:pPr>
      <w:bookmarkStart w:id="0" w:name="_Toc13094"/>
      <w:bookmarkEnd w:id="0"/>
      <w:r>
        <w:rPr>
          <w:rFonts w:hint="eastAsia" w:ascii="仿宋" w:hAnsi="仿宋" w:eastAsia="仿宋" w:cs="仿宋"/>
          <w:b/>
          <w:bCs/>
          <w:sz w:val="72"/>
          <w:szCs w:val="72"/>
          <w:highlight w:val="none"/>
        </w:rPr>
        <w:t xml:space="preserve"> </w:t>
      </w:r>
    </w:p>
    <w:p w14:paraId="0A46FBBC">
      <w:pPr>
        <w:spacing w:line="360" w:lineRule="auto"/>
        <w:jc w:val="center"/>
        <w:outlineLvl w:val="9"/>
        <w:rPr>
          <w:rFonts w:hint="eastAsia" w:ascii="仿宋" w:hAnsi="仿宋" w:eastAsia="仿宋" w:cs="仿宋"/>
          <w:b/>
          <w:bCs/>
          <w:sz w:val="60"/>
          <w:szCs w:val="60"/>
          <w:highlight w:val="none"/>
        </w:rPr>
      </w:pPr>
      <w:bookmarkStart w:id="1" w:name="_Toc2276"/>
      <w:bookmarkEnd w:id="1"/>
      <w:r>
        <w:rPr>
          <w:rFonts w:hint="eastAsia" w:ascii="仿宋" w:hAnsi="仿宋" w:eastAsia="仿宋" w:cs="仿宋"/>
          <w:b/>
          <w:bCs/>
          <w:sz w:val="60"/>
          <w:szCs w:val="60"/>
          <w:highlight w:val="none"/>
        </w:rPr>
        <w:t>竞争性磋商文件</w:t>
      </w:r>
    </w:p>
    <w:p w14:paraId="4128EB16">
      <w:pPr>
        <w:spacing w:line="360" w:lineRule="auto"/>
        <w:jc w:val="cente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rPr>
        <w:t>项目编号：汴鼓财磋商采购-202</w:t>
      </w:r>
      <w:r>
        <w:rPr>
          <w:rFonts w:hint="eastAsia" w:ascii="仿宋" w:hAnsi="仿宋" w:eastAsia="仿宋" w:cs="仿宋"/>
          <w:b/>
          <w:bCs/>
          <w:sz w:val="28"/>
          <w:szCs w:val="28"/>
          <w:highlight w:val="none"/>
          <w:lang w:val="en-US" w:eastAsia="zh-CN"/>
        </w:rPr>
        <w:t>5</w:t>
      </w:r>
      <w:r>
        <w:rPr>
          <w:rFonts w:hint="eastAsia" w:ascii="仿宋" w:hAnsi="仿宋" w:eastAsia="仿宋" w:cs="仿宋"/>
          <w:b/>
          <w:bCs/>
          <w:sz w:val="28"/>
          <w:szCs w:val="28"/>
          <w:highlight w:val="none"/>
        </w:rPr>
        <w:t>-</w:t>
      </w:r>
      <w:r>
        <w:rPr>
          <w:rFonts w:hint="eastAsia" w:ascii="仿宋" w:hAnsi="仿宋" w:eastAsia="仿宋" w:cs="仿宋"/>
          <w:b/>
          <w:bCs/>
          <w:sz w:val="28"/>
          <w:szCs w:val="28"/>
          <w:highlight w:val="none"/>
          <w:lang w:val="en-US" w:eastAsia="zh-CN"/>
        </w:rPr>
        <w:t>5</w:t>
      </w:r>
    </w:p>
    <w:p w14:paraId="117545D6">
      <w:pPr>
        <w:spacing w:line="360" w:lineRule="auto"/>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 </w:t>
      </w:r>
    </w:p>
    <w:p w14:paraId="2D876BA9">
      <w:pPr>
        <w:spacing w:line="360" w:lineRule="auto"/>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 </w:t>
      </w:r>
    </w:p>
    <w:p w14:paraId="4448E1EC">
      <w:pPr>
        <w:spacing w:line="360" w:lineRule="auto"/>
        <w:jc w:val="center"/>
        <w:rPr>
          <w:rFonts w:hint="eastAsia" w:ascii="仿宋" w:hAnsi="仿宋" w:eastAsia="仿宋" w:cs="仿宋"/>
          <w:highlight w:val="none"/>
        </w:rPr>
      </w:pPr>
      <w:r>
        <w:rPr>
          <w:rFonts w:hint="eastAsia" w:ascii="仿宋" w:hAnsi="仿宋" w:eastAsia="仿宋" w:cs="仿宋"/>
          <w:highlight w:val="none"/>
        </w:rPr>
        <w:t xml:space="preserve"> </w:t>
      </w:r>
    </w:p>
    <w:p w14:paraId="7F21D1DF">
      <w:pPr>
        <w:pStyle w:val="5"/>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2327FFA3">
      <w:pPr>
        <w:spacing w:line="360" w:lineRule="auto"/>
        <w:jc w:val="center"/>
        <w:rPr>
          <w:rFonts w:hint="eastAsia" w:ascii="仿宋" w:hAnsi="仿宋" w:eastAsia="仿宋" w:cs="仿宋"/>
          <w:sz w:val="28"/>
          <w:szCs w:val="28"/>
          <w:highlight w:val="none"/>
        </w:rPr>
      </w:pPr>
      <w:bookmarkStart w:id="2" w:name="_Toc14491"/>
      <w:bookmarkEnd w:id="2"/>
      <w:r>
        <w:rPr>
          <w:rFonts w:hint="eastAsia" w:ascii="仿宋" w:hAnsi="仿宋" w:eastAsia="仿宋" w:cs="仿宋"/>
          <w:sz w:val="28"/>
          <w:szCs w:val="28"/>
          <w:highlight w:val="none"/>
        </w:rPr>
        <w:t xml:space="preserve"> </w:t>
      </w:r>
    </w:p>
    <w:p w14:paraId="52CA4A51">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290A81C9">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78E4902B">
      <w:pPr>
        <w:spacing w:line="360" w:lineRule="auto"/>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 </w:t>
      </w:r>
    </w:p>
    <w:p w14:paraId="4E601F67">
      <w:pPr>
        <w:spacing w:line="360" w:lineRule="auto"/>
        <w:jc w:val="center"/>
        <w:outlineLvl w:val="9"/>
        <w:rPr>
          <w:rFonts w:hint="eastAsia" w:ascii="仿宋" w:hAnsi="仿宋" w:eastAsia="仿宋" w:cs="仿宋"/>
          <w:b/>
          <w:bCs/>
          <w:sz w:val="32"/>
          <w:szCs w:val="32"/>
          <w:highlight w:val="none"/>
        </w:rPr>
      </w:pPr>
      <w:bookmarkStart w:id="3" w:name="_Toc25233"/>
      <w:bookmarkEnd w:id="3"/>
      <w:r>
        <w:rPr>
          <w:rFonts w:hint="eastAsia" w:ascii="仿宋" w:hAnsi="仿宋" w:eastAsia="仿宋" w:cs="仿宋"/>
          <w:b/>
          <w:bCs/>
          <w:sz w:val="32"/>
          <w:szCs w:val="32"/>
          <w:highlight w:val="none"/>
        </w:rPr>
        <w:t>招 标 人：开封市鼓楼区消防救援大队</w:t>
      </w:r>
    </w:p>
    <w:p w14:paraId="03DD37DF">
      <w:pPr>
        <w:spacing w:line="360" w:lineRule="auto"/>
        <w:jc w:val="center"/>
        <w:outlineLvl w:val="9"/>
        <w:rPr>
          <w:rFonts w:hint="eastAsia" w:ascii="仿宋" w:hAnsi="仿宋" w:eastAsia="仿宋" w:cs="仿宋"/>
          <w:b/>
          <w:bCs/>
          <w:sz w:val="32"/>
          <w:szCs w:val="32"/>
          <w:highlight w:val="none"/>
        </w:rPr>
      </w:pPr>
      <w:bookmarkStart w:id="4" w:name="_Toc9758"/>
      <w:bookmarkEnd w:id="4"/>
      <w:r>
        <w:rPr>
          <w:rFonts w:hint="eastAsia" w:ascii="仿宋" w:hAnsi="仿宋" w:eastAsia="仿宋" w:cs="仿宋"/>
          <w:b/>
          <w:bCs/>
          <w:sz w:val="32"/>
          <w:szCs w:val="32"/>
          <w:highlight w:val="none"/>
        </w:rPr>
        <w:t>招标代理：</w:t>
      </w:r>
      <w:r>
        <w:rPr>
          <w:rFonts w:hint="eastAsia" w:ascii="仿宋" w:hAnsi="仿宋" w:eastAsia="仿宋" w:cs="仿宋"/>
          <w:b/>
          <w:bCs/>
          <w:sz w:val="32"/>
          <w:szCs w:val="32"/>
          <w:highlight w:val="none"/>
          <w:lang w:val="en-US" w:eastAsia="zh-CN"/>
        </w:rPr>
        <w:t>河南财缘项目管理</w:t>
      </w:r>
      <w:r>
        <w:rPr>
          <w:rFonts w:hint="eastAsia" w:ascii="仿宋" w:hAnsi="仿宋" w:eastAsia="仿宋" w:cs="仿宋"/>
          <w:b/>
          <w:bCs/>
          <w:sz w:val="32"/>
          <w:szCs w:val="32"/>
          <w:highlight w:val="none"/>
        </w:rPr>
        <w:t>有限公司</w:t>
      </w:r>
    </w:p>
    <w:p w14:paraId="7CE384EC">
      <w:pPr>
        <w:spacing w:line="360" w:lineRule="auto"/>
        <w:jc w:val="center"/>
        <w:outlineLvl w:val="9"/>
        <w:rPr>
          <w:rFonts w:hint="eastAsia" w:ascii="仿宋" w:hAnsi="仿宋" w:eastAsia="仿宋" w:cs="仿宋"/>
          <w:b/>
          <w:bCs/>
          <w:sz w:val="32"/>
          <w:szCs w:val="32"/>
          <w:highlight w:val="none"/>
        </w:rPr>
        <w:sectPr>
          <w:pgSz w:w="11906" w:h="16839"/>
          <w:pgMar w:top="1431" w:right="1785" w:bottom="1128" w:left="1785" w:header="0" w:footer="0" w:gutter="0"/>
          <w:cols w:space="720" w:num="1"/>
        </w:sectPr>
      </w:pPr>
      <w:bookmarkStart w:id="5" w:name="_Toc24699"/>
      <w:bookmarkEnd w:id="5"/>
      <w:bookmarkStart w:id="6" w:name="_Toc14820"/>
      <w:r>
        <w:rPr>
          <w:rFonts w:hint="eastAsia" w:ascii="仿宋" w:hAnsi="仿宋" w:eastAsia="仿宋" w:cs="仿宋"/>
          <w:b/>
          <w:bCs/>
          <w:sz w:val="32"/>
          <w:szCs w:val="32"/>
          <w:highlight w:val="none"/>
        </w:rPr>
        <w:t>日    期：二〇二</w:t>
      </w:r>
      <w:bookmarkEnd w:id="6"/>
      <w:r>
        <w:rPr>
          <w:rFonts w:hint="eastAsia" w:ascii="仿宋" w:hAnsi="仿宋" w:eastAsia="仿宋" w:cs="仿宋"/>
          <w:b/>
          <w:bCs/>
          <w:sz w:val="32"/>
          <w:szCs w:val="32"/>
          <w:highlight w:val="none"/>
          <w:lang w:val="en-US" w:eastAsia="zh-CN"/>
        </w:rPr>
        <w:t>五</w:t>
      </w:r>
      <w:r>
        <w:rPr>
          <w:rFonts w:hint="eastAsia" w:ascii="仿宋" w:hAnsi="仿宋" w:eastAsia="仿宋" w:cs="仿宋"/>
          <w:b/>
          <w:bCs/>
          <w:sz w:val="32"/>
          <w:szCs w:val="32"/>
          <w:highlight w:val="none"/>
        </w:rPr>
        <w:t>年</w:t>
      </w:r>
      <w:r>
        <w:rPr>
          <w:rFonts w:hint="eastAsia" w:ascii="仿宋" w:hAnsi="仿宋" w:eastAsia="仿宋" w:cs="仿宋"/>
          <w:b/>
          <w:bCs/>
          <w:sz w:val="32"/>
          <w:szCs w:val="32"/>
          <w:highlight w:val="none"/>
          <w:lang w:val="en-US" w:eastAsia="zh-CN"/>
        </w:rPr>
        <w:t>十一</w:t>
      </w:r>
      <w:r>
        <w:rPr>
          <w:rFonts w:hint="eastAsia" w:ascii="仿宋" w:hAnsi="仿宋" w:eastAsia="仿宋" w:cs="仿宋"/>
          <w:b/>
          <w:bCs/>
          <w:sz w:val="32"/>
          <w:szCs w:val="32"/>
          <w:highlight w:val="none"/>
        </w:rPr>
        <w:t>月</w:t>
      </w:r>
    </w:p>
    <w:p w14:paraId="1E08F76A">
      <w:pPr>
        <w:spacing w:line="360" w:lineRule="auto"/>
        <w:jc w:val="center"/>
        <w:outlineLvl w:val="9"/>
        <w:rPr>
          <w:rFonts w:hint="eastAsia" w:ascii="仿宋" w:hAnsi="仿宋" w:eastAsia="仿宋" w:cs="仿宋"/>
          <w:b/>
          <w:bCs/>
          <w:sz w:val="32"/>
          <w:szCs w:val="32"/>
          <w:highlight w:val="none"/>
          <w:lang w:eastAsia="zh-CN"/>
        </w:rPr>
        <w:sectPr>
          <w:pgSz w:w="11906" w:h="16839"/>
          <w:pgMar w:top="1431" w:right="1785" w:bottom="1128" w:left="1785" w:header="0" w:footer="0" w:gutter="0"/>
          <w:cols w:space="720" w:num="1"/>
        </w:sectPr>
      </w:pPr>
      <w:r>
        <w:rPr>
          <w:rFonts w:hint="eastAsia" w:ascii="仿宋" w:hAnsi="仿宋" w:eastAsia="仿宋" w:cs="仿宋"/>
          <w:b/>
          <w:bCs/>
          <w:sz w:val="32"/>
          <w:szCs w:val="32"/>
          <w:highlight w:val="none"/>
          <w:lang w:eastAsia="zh-CN"/>
        </w:rPr>
        <w:drawing>
          <wp:inline distT="0" distB="0" distL="114300" distR="114300">
            <wp:extent cx="5289550" cy="7037070"/>
            <wp:effectExtent l="0" t="0" r="6350" b="11430"/>
            <wp:docPr id="3" name="图片 3" descr="1758706027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58706027742"/>
                    <pic:cNvPicPr>
                      <a:picLocks noChangeAspect="1"/>
                    </pic:cNvPicPr>
                  </pic:nvPicPr>
                  <pic:blipFill>
                    <a:blip r:embed="rId5"/>
                    <a:stretch>
                      <a:fillRect/>
                    </a:stretch>
                  </pic:blipFill>
                  <pic:spPr>
                    <a:xfrm>
                      <a:off x="0" y="0"/>
                      <a:ext cx="5289550" cy="7037070"/>
                    </a:xfrm>
                    <a:prstGeom prst="rect">
                      <a:avLst/>
                    </a:prstGeom>
                  </pic:spPr>
                </pic:pic>
              </a:graphicData>
            </a:graphic>
          </wp:inline>
        </w:drawing>
      </w:r>
    </w:p>
    <w:p w14:paraId="3F255703">
      <w:pPr>
        <w:spacing w:line="360" w:lineRule="auto"/>
        <w:jc w:val="center"/>
        <w:outlineLvl w:val="9"/>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目录</w:t>
      </w:r>
    </w:p>
    <w:p w14:paraId="265A2E1B">
      <w:pPr>
        <w:spacing w:line="360" w:lineRule="auto"/>
        <w:rPr>
          <w:rFonts w:hint="eastAsia" w:ascii="仿宋" w:hAnsi="仿宋" w:eastAsia="仿宋" w:cs="仿宋"/>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"file:///C:\\Users\\Administrator\\Desktop\\鼓楼区伙食配送\\开封市鼓楼区消防救援大队伙食配送定点单位采购项目(招标文件)8.22.doc" \l "_Toc12988" </w:instrText>
      </w:r>
      <w:r>
        <w:rPr>
          <w:rFonts w:hint="eastAsia" w:ascii="仿宋" w:hAnsi="仿宋" w:eastAsia="仿宋" w:cs="仿宋"/>
          <w:highlight w:val="none"/>
        </w:rPr>
        <w:fldChar w:fldCharType="separate"/>
      </w:r>
      <w:r>
        <w:rPr>
          <w:rStyle w:val="20"/>
          <w:rFonts w:hint="eastAsia" w:ascii="仿宋" w:hAnsi="仿宋" w:eastAsia="仿宋" w:cs="仿宋"/>
          <w:sz w:val="28"/>
          <w:szCs w:val="28"/>
          <w:highlight w:val="none"/>
        </w:rPr>
        <w:t>第一章 招标公告</w:t>
      </w:r>
      <w:r>
        <w:rPr>
          <w:rStyle w:val="20"/>
          <w:rFonts w:hint="eastAsia" w:ascii="仿宋" w:hAnsi="仿宋" w:eastAsia="仿宋" w:cs="仿宋"/>
          <w:sz w:val="28"/>
          <w:szCs w:val="28"/>
          <w:highlight w:val="none"/>
        </w:rPr>
        <w:tab/>
      </w:r>
      <w:r>
        <w:rPr>
          <w:rStyle w:val="20"/>
          <w:rFonts w:hint="eastAsia" w:ascii="仿宋" w:hAnsi="仿宋" w:eastAsia="仿宋" w:cs="仿宋"/>
          <w:sz w:val="28"/>
          <w:szCs w:val="28"/>
          <w:highlight w:val="none"/>
        </w:rPr>
        <w:fldChar w:fldCharType="end"/>
      </w:r>
    </w:p>
    <w:p w14:paraId="7B7654A4">
      <w:pPr>
        <w:spacing w:line="360" w:lineRule="auto"/>
        <w:rPr>
          <w:rFonts w:hint="eastAsia" w:ascii="仿宋" w:hAnsi="仿宋" w:eastAsia="仿宋" w:cs="仿宋"/>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"file:///C:\\Users\\Administrator\\Desktop\\鼓楼区伙食配送\\开封市鼓楼区消防救援大队伙食配送定点单位采购项目(招标文件)8.22.doc" \l "_Toc28921" </w:instrText>
      </w:r>
      <w:r>
        <w:rPr>
          <w:rFonts w:hint="eastAsia" w:ascii="仿宋" w:hAnsi="仿宋" w:eastAsia="仿宋" w:cs="仿宋"/>
          <w:highlight w:val="none"/>
        </w:rPr>
        <w:fldChar w:fldCharType="separate"/>
      </w:r>
      <w:r>
        <w:rPr>
          <w:rStyle w:val="20"/>
          <w:rFonts w:hint="eastAsia" w:ascii="仿宋" w:hAnsi="仿宋" w:eastAsia="仿宋" w:cs="仿宋"/>
          <w:sz w:val="28"/>
          <w:szCs w:val="28"/>
          <w:highlight w:val="none"/>
        </w:rPr>
        <w:t>第二章 供应商须知</w:t>
      </w:r>
      <w:r>
        <w:rPr>
          <w:rStyle w:val="20"/>
          <w:rFonts w:hint="eastAsia" w:ascii="仿宋" w:hAnsi="仿宋" w:eastAsia="仿宋" w:cs="仿宋"/>
          <w:sz w:val="28"/>
          <w:szCs w:val="28"/>
          <w:highlight w:val="none"/>
        </w:rPr>
        <w:tab/>
      </w:r>
      <w:r>
        <w:rPr>
          <w:rStyle w:val="20"/>
          <w:rFonts w:hint="eastAsia" w:ascii="仿宋" w:hAnsi="仿宋" w:eastAsia="仿宋" w:cs="仿宋"/>
          <w:sz w:val="28"/>
          <w:szCs w:val="28"/>
          <w:highlight w:val="none"/>
        </w:rPr>
        <w:fldChar w:fldCharType="end"/>
      </w:r>
    </w:p>
    <w:p w14:paraId="5DD12455">
      <w:pPr>
        <w:spacing w:line="360" w:lineRule="auto"/>
        <w:rPr>
          <w:rFonts w:hint="eastAsia" w:ascii="仿宋" w:hAnsi="仿宋" w:eastAsia="仿宋" w:cs="仿宋"/>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"file:///C:\\Users\\Administrator\\Desktop\\鼓楼区伙食配送\\开封市鼓楼区消防救援大队伙食配送定点单位采购项目(招标文件)8.22.doc" \l "_Toc9103" </w:instrText>
      </w:r>
      <w:r>
        <w:rPr>
          <w:rFonts w:hint="eastAsia" w:ascii="仿宋" w:hAnsi="仿宋" w:eastAsia="仿宋" w:cs="仿宋"/>
          <w:highlight w:val="none"/>
        </w:rPr>
        <w:fldChar w:fldCharType="separate"/>
      </w:r>
      <w:r>
        <w:rPr>
          <w:rStyle w:val="20"/>
          <w:rFonts w:hint="eastAsia" w:ascii="仿宋" w:hAnsi="仿宋" w:eastAsia="仿宋" w:cs="仿宋"/>
          <w:sz w:val="28"/>
          <w:szCs w:val="28"/>
          <w:highlight w:val="none"/>
        </w:rPr>
        <w:t>第三章 评标办法</w:t>
      </w:r>
      <w:r>
        <w:rPr>
          <w:rStyle w:val="20"/>
          <w:rFonts w:hint="eastAsia" w:ascii="仿宋" w:hAnsi="仿宋" w:eastAsia="仿宋" w:cs="仿宋"/>
          <w:sz w:val="28"/>
          <w:szCs w:val="28"/>
          <w:highlight w:val="none"/>
        </w:rPr>
        <w:tab/>
      </w:r>
      <w:r>
        <w:rPr>
          <w:rStyle w:val="20"/>
          <w:rFonts w:hint="eastAsia" w:ascii="仿宋" w:hAnsi="仿宋" w:eastAsia="仿宋" w:cs="仿宋"/>
          <w:sz w:val="28"/>
          <w:szCs w:val="28"/>
          <w:highlight w:val="none"/>
        </w:rPr>
        <w:fldChar w:fldCharType="end"/>
      </w:r>
    </w:p>
    <w:p w14:paraId="20FB1717">
      <w:pPr>
        <w:spacing w:line="360" w:lineRule="auto"/>
        <w:rPr>
          <w:rFonts w:hint="eastAsia" w:ascii="仿宋" w:hAnsi="仿宋" w:eastAsia="仿宋" w:cs="仿宋"/>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"file:///C:\\Users\\Administrator\\Desktop\\鼓楼区伙食配送\\开封市鼓楼区消防救援大队伙食配送定点单位采购项目(招标文件)8.22.doc" \l "_Toc27383" </w:instrText>
      </w:r>
      <w:r>
        <w:rPr>
          <w:rFonts w:hint="eastAsia" w:ascii="仿宋" w:hAnsi="仿宋" w:eastAsia="仿宋" w:cs="仿宋"/>
          <w:highlight w:val="none"/>
        </w:rPr>
        <w:fldChar w:fldCharType="separate"/>
      </w:r>
      <w:r>
        <w:rPr>
          <w:rStyle w:val="20"/>
          <w:rFonts w:hint="eastAsia" w:ascii="仿宋" w:hAnsi="仿宋" w:eastAsia="仿宋" w:cs="仿宋"/>
          <w:sz w:val="28"/>
          <w:szCs w:val="28"/>
          <w:highlight w:val="none"/>
        </w:rPr>
        <w:t>第四章 服务内容及要求</w:t>
      </w:r>
      <w:r>
        <w:rPr>
          <w:rStyle w:val="20"/>
          <w:rFonts w:hint="eastAsia" w:ascii="仿宋" w:hAnsi="仿宋" w:eastAsia="仿宋" w:cs="仿宋"/>
          <w:sz w:val="28"/>
          <w:szCs w:val="28"/>
          <w:highlight w:val="none"/>
        </w:rPr>
        <w:tab/>
      </w:r>
      <w:r>
        <w:rPr>
          <w:rStyle w:val="20"/>
          <w:rFonts w:hint="eastAsia" w:ascii="仿宋" w:hAnsi="仿宋" w:eastAsia="仿宋" w:cs="仿宋"/>
          <w:sz w:val="28"/>
          <w:szCs w:val="28"/>
          <w:highlight w:val="none"/>
        </w:rPr>
        <w:fldChar w:fldCharType="end"/>
      </w:r>
    </w:p>
    <w:p w14:paraId="24C52C15">
      <w:pPr>
        <w:spacing w:line="360" w:lineRule="auto"/>
        <w:rPr>
          <w:rFonts w:hint="eastAsia" w:ascii="仿宋" w:hAnsi="仿宋" w:eastAsia="仿宋" w:cs="仿宋"/>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"file:///C:\\Users\\Administrator\\Desktop\\鼓楼区伙食配送\\开封市鼓楼区消防救援大队伙食配送定点单位采购项目(招标文件)8.22.doc" \l "_Toc22855" </w:instrText>
      </w:r>
      <w:r>
        <w:rPr>
          <w:rFonts w:hint="eastAsia" w:ascii="仿宋" w:hAnsi="仿宋" w:eastAsia="仿宋" w:cs="仿宋"/>
          <w:highlight w:val="none"/>
        </w:rPr>
        <w:fldChar w:fldCharType="separate"/>
      </w:r>
      <w:r>
        <w:rPr>
          <w:rStyle w:val="20"/>
          <w:rFonts w:hint="eastAsia" w:ascii="仿宋" w:hAnsi="仿宋" w:eastAsia="仿宋" w:cs="仿宋"/>
          <w:sz w:val="28"/>
          <w:szCs w:val="28"/>
          <w:highlight w:val="none"/>
        </w:rPr>
        <w:t>第五章 合同（双方协商）</w:t>
      </w:r>
      <w:r>
        <w:rPr>
          <w:rStyle w:val="20"/>
          <w:rFonts w:hint="eastAsia" w:ascii="仿宋" w:hAnsi="仿宋" w:eastAsia="仿宋" w:cs="仿宋"/>
          <w:sz w:val="28"/>
          <w:szCs w:val="28"/>
          <w:highlight w:val="none"/>
        </w:rPr>
        <w:fldChar w:fldCharType="end"/>
      </w:r>
    </w:p>
    <w:p w14:paraId="159F1239">
      <w:pPr>
        <w:spacing w:line="360" w:lineRule="auto"/>
        <w:rPr>
          <w:rFonts w:hint="eastAsia" w:ascii="仿宋" w:hAnsi="仿宋" w:eastAsia="仿宋" w:cs="仿宋"/>
          <w:sz w:val="28"/>
          <w:szCs w:val="28"/>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"file:///C:\\Users\\Administrator\\Desktop\\鼓楼区伙食配送\\开封市鼓楼区消防救援大队伙食配送定点单位采购项目(招标文件)8.22.doc" \l "_Toc31602" </w:instrText>
      </w:r>
      <w:r>
        <w:rPr>
          <w:rFonts w:hint="eastAsia" w:ascii="仿宋" w:hAnsi="仿宋" w:eastAsia="仿宋" w:cs="仿宋"/>
          <w:highlight w:val="none"/>
        </w:rPr>
        <w:fldChar w:fldCharType="separate"/>
      </w:r>
      <w:r>
        <w:rPr>
          <w:rStyle w:val="20"/>
          <w:rFonts w:hint="eastAsia" w:ascii="仿宋" w:hAnsi="仿宋" w:eastAsia="仿宋" w:cs="仿宋"/>
          <w:sz w:val="28"/>
          <w:szCs w:val="28"/>
          <w:highlight w:val="none"/>
        </w:rPr>
        <w:t>第六章  竞争性磋商响应文件格式</w:t>
      </w:r>
      <w:r>
        <w:rPr>
          <w:rStyle w:val="20"/>
          <w:rFonts w:hint="eastAsia" w:ascii="仿宋" w:hAnsi="仿宋" w:eastAsia="仿宋" w:cs="仿宋"/>
          <w:sz w:val="28"/>
          <w:szCs w:val="28"/>
          <w:highlight w:val="none"/>
        </w:rPr>
        <w:tab/>
      </w:r>
      <w:r>
        <w:rPr>
          <w:rStyle w:val="20"/>
          <w:rFonts w:hint="eastAsia" w:ascii="仿宋" w:hAnsi="仿宋" w:eastAsia="仿宋" w:cs="仿宋"/>
          <w:sz w:val="28"/>
          <w:szCs w:val="28"/>
          <w:highlight w:val="none"/>
        </w:rPr>
        <w:fldChar w:fldCharType="end"/>
      </w:r>
    </w:p>
    <w:p w14:paraId="57559874">
      <w:pPr>
        <w:spacing w:line="360" w:lineRule="auto"/>
        <w:jc w:val="center"/>
        <w:outlineLvl w:val="9"/>
        <w:rPr>
          <w:rFonts w:hint="eastAsia" w:ascii="仿宋" w:hAnsi="仿宋" w:eastAsia="仿宋" w:cs="仿宋"/>
          <w:b/>
          <w:bCs/>
          <w:sz w:val="32"/>
          <w:szCs w:val="32"/>
          <w:highlight w:val="none"/>
        </w:rPr>
        <w:sectPr>
          <w:footerReference r:id="rId3" w:type="default"/>
          <w:pgSz w:w="11906" w:h="16839"/>
          <w:pgMar w:top="1431" w:right="1785" w:bottom="1128" w:left="1785" w:header="57" w:footer="737" w:gutter="0"/>
          <w:pgNumType w:fmt="decimal" w:start="1"/>
          <w:cols w:space="720" w:num="1"/>
        </w:sectPr>
      </w:pPr>
    </w:p>
    <w:p w14:paraId="050BF370">
      <w:pPr>
        <w:bidi w:val="0"/>
        <w:spacing w:line="360" w:lineRule="auto"/>
        <w:jc w:val="center"/>
        <w:outlineLvl w:val="0"/>
        <w:rPr>
          <w:rFonts w:hint="eastAsia" w:ascii="仿宋" w:hAnsi="仿宋" w:eastAsia="仿宋" w:cs="仿宋"/>
          <w:b/>
          <w:bCs/>
          <w:sz w:val="36"/>
          <w:szCs w:val="36"/>
          <w:highlight w:val="none"/>
        </w:rPr>
      </w:pPr>
      <w:bookmarkStart w:id="7" w:name="_Toc25745"/>
      <w:bookmarkEnd w:id="7"/>
      <w:bookmarkStart w:id="8" w:name="_Toc12988"/>
      <w:r>
        <w:rPr>
          <w:rFonts w:hint="eastAsia" w:ascii="仿宋" w:hAnsi="仿宋" w:eastAsia="仿宋" w:cs="仿宋"/>
          <w:b/>
          <w:bCs/>
          <w:sz w:val="36"/>
          <w:szCs w:val="36"/>
          <w:highlight w:val="none"/>
        </w:rPr>
        <w:t>第一章 招标公告</w:t>
      </w:r>
      <w:bookmarkEnd w:id="8"/>
    </w:p>
    <w:p w14:paraId="1FE70910">
      <w:pPr>
        <w:pStyle w:val="4"/>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开封市鼓楼区消防救援大队伙食配送定点单位采购项目</w:t>
      </w:r>
    </w:p>
    <w:p w14:paraId="0AC669D2">
      <w:pPr>
        <w:spacing w:line="360" w:lineRule="auto"/>
        <w:jc w:val="center"/>
        <w:outlineLvl w:val="9"/>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竞争性磋商公告</w:t>
      </w:r>
    </w:p>
    <w:p w14:paraId="632A9397">
      <w:pP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项目概况</w:t>
      </w:r>
    </w:p>
    <w:p w14:paraId="05A3B700">
      <w:pPr>
        <w:spacing w:line="360" w:lineRule="auto"/>
        <w:ind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开封市鼓楼区消防救援大队伙食配送定点单位采购项目招标项目的潜在投标人应在开封市公共资源交易信息网获取招标文件，并于202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18</w:t>
      </w:r>
      <w:r>
        <w:rPr>
          <w:rFonts w:hint="eastAsia" w:ascii="仿宋" w:hAnsi="仿宋" w:eastAsia="仿宋" w:cs="仿宋"/>
          <w:sz w:val="24"/>
          <w:szCs w:val="24"/>
          <w:highlight w:val="none"/>
        </w:rPr>
        <w:t>日09时</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分（北京时间）前递交响应文件。</w:t>
      </w:r>
    </w:p>
    <w:p w14:paraId="24F6C1C6">
      <w:pP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一、项目基本情况</w:t>
      </w:r>
      <w:r>
        <w:rPr>
          <w:rFonts w:hint="eastAsia" w:ascii="仿宋" w:hAnsi="仿宋" w:eastAsia="仿宋" w:cs="仿宋"/>
          <w:sz w:val="24"/>
          <w:szCs w:val="24"/>
          <w:highlight w:val="none"/>
        </w:rPr>
        <w:t xml:space="preserve"> </w:t>
      </w:r>
    </w:p>
    <w:p w14:paraId="229D4F30">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1、项目编号：汴鼓财磋商采购-202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 xml:space="preserve"> </w:t>
      </w:r>
    </w:p>
    <w:p w14:paraId="78CE28C3">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2、项目名称：开封市鼓楼区消防救援大队伙食配送定点单位采购项目 </w:t>
      </w:r>
    </w:p>
    <w:p w14:paraId="797E543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3、采购方式：竞争性磋商 </w:t>
      </w:r>
    </w:p>
    <w:p w14:paraId="10B51A1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4、预算金额：5</w:t>
      </w:r>
      <w:r>
        <w:rPr>
          <w:rFonts w:hint="eastAsia" w:ascii="仿宋" w:hAnsi="仿宋" w:eastAsia="仿宋" w:cs="仿宋"/>
          <w:sz w:val="24"/>
          <w:szCs w:val="24"/>
          <w:highlight w:val="none"/>
          <w:lang w:val="en-US" w:eastAsia="zh-CN"/>
        </w:rPr>
        <w:t>145</w:t>
      </w:r>
      <w:r>
        <w:rPr>
          <w:rFonts w:hint="eastAsia" w:ascii="仿宋" w:hAnsi="仿宋" w:eastAsia="仿宋" w:cs="仿宋"/>
          <w:sz w:val="24"/>
          <w:szCs w:val="24"/>
          <w:highlight w:val="none"/>
        </w:rPr>
        <w:t xml:space="preserve">00.00元 </w:t>
      </w:r>
    </w:p>
    <w:p w14:paraId="2FEAFF70">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最高限价：5</w:t>
      </w:r>
      <w:r>
        <w:rPr>
          <w:rFonts w:hint="eastAsia" w:ascii="仿宋" w:hAnsi="仿宋" w:eastAsia="仿宋" w:cs="仿宋"/>
          <w:sz w:val="24"/>
          <w:szCs w:val="24"/>
          <w:highlight w:val="none"/>
          <w:lang w:val="en-US" w:eastAsia="zh-CN"/>
        </w:rPr>
        <w:t>145</w:t>
      </w:r>
      <w:r>
        <w:rPr>
          <w:rFonts w:hint="eastAsia" w:ascii="仿宋" w:hAnsi="仿宋" w:eastAsia="仿宋" w:cs="仿宋"/>
          <w:sz w:val="24"/>
          <w:szCs w:val="24"/>
          <w:highlight w:val="none"/>
        </w:rPr>
        <w:t xml:space="preserve">00.00元  </w:t>
      </w:r>
    </w:p>
    <w:tbl>
      <w:tblPr>
        <w:tblStyle w:val="15"/>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7"/>
        <w:gridCol w:w="1384"/>
        <w:gridCol w:w="2449"/>
        <w:gridCol w:w="1090"/>
        <w:gridCol w:w="1259"/>
        <w:gridCol w:w="1436"/>
        <w:gridCol w:w="1553"/>
      </w:tblGrid>
      <w:tr w14:paraId="1C7D6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08" w:type="pct"/>
            <w:tcBorders>
              <w:top w:val="single" w:color="auto" w:sz="4" w:space="0"/>
              <w:left w:val="single" w:color="auto" w:sz="4" w:space="0"/>
              <w:bottom w:val="single" w:color="auto" w:sz="4" w:space="0"/>
              <w:right w:val="single" w:color="auto" w:sz="4" w:space="0"/>
            </w:tcBorders>
            <w:tcMar>
              <w:top w:w="120" w:type="dxa"/>
              <w:left w:w="0" w:type="dxa"/>
              <w:bottom w:w="0" w:type="dxa"/>
              <w:right w:w="0" w:type="dxa"/>
            </w:tcMar>
            <w:vAlign w:val="center"/>
          </w:tcPr>
          <w:p w14:paraId="56B72412">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723" w:type="pct"/>
            <w:tcBorders>
              <w:top w:val="single" w:color="auto" w:sz="4" w:space="0"/>
              <w:left w:val="single" w:color="auto" w:sz="4" w:space="0"/>
              <w:bottom w:val="single" w:color="auto" w:sz="4" w:space="0"/>
              <w:right w:val="single" w:color="auto" w:sz="4" w:space="0"/>
            </w:tcBorders>
            <w:tcMar>
              <w:top w:w="120" w:type="dxa"/>
              <w:left w:w="0" w:type="dxa"/>
              <w:bottom w:w="0" w:type="dxa"/>
              <w:right w:w="0" w:type="dxa"/>
            </w:tcMar>
            <w:vAlign w:val="center"/>
          </w:tcPr>
          <w:p w14:paraId="14636B9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包号</w:t>
            </w:r>
          </w:p>
        </w:tc>
        <w:tc>
          <w:tcPr>
            <w:tcW w:w="1279" w:type="pct"/>
            <w:tcBorders>
              <w:top w:val="single" w:color="auto" w:sz="4" w:space="0"/>
              <w:left w:val="single" w:color="auto" w:sz="4" w:space="0"/>
              <w:bottom w:val="single" w:color="auto" w:sz="4" w:space="0"/>
              <w:right w:val="single" w:color="auto" w:sz="4" w:space="0"/>
            </w:tcBorders>
            <w:tcMar>
              <w:top w:w="120" w:type="dxa"/>
              <w:left w:w="0" w:type="dxa"/>
              <w:bottom w:w="0" w:type="dxa"/>
              <w:right w:w="0" w:type="dxa"/>
            </w:tcMar>
            <w:vAlign w:val="center"/>
          </w:tcPr>
          <w:p w14:paraId="5BBB889E">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包名称</w:t>
            </w:r>
          </w:p>
        </w:tc>
        <w:tc>
          <w:tcPr>
            <w:tcW w:w="567" w:type="pct"/>
            <w:tcBorders>
              <w:top w:val="single" w:color="auto" w:sz="4" w:space="0"/>
              <w:left w:val="single" w:color="auto" w:sz="4" w:space="0"/>
              <w:bottom w:val="single" w:color="auto" w:sz="4" w:space="0"/>
              <w:right w:val="single" w:color="auto" w:sz="4" w:space="0"/>
            </w:tcBorders>
            <w:tcMar>
              <w:top w:w="120" w:type="dxa"/>
              <w:left w:w="0" w:type="dxa"/>
              <w:bottom w:w="0" w:type="dxa"/>
              <w:right w:w="0" w:type="dxa"/>
            </w:tcMar>
            <w:vAlign w:val="center"/>
          </w:tcPr>
          <w:p w14:paraId="7EE6500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包预算</w:t>
            </w:r>
          </w:p>
          <w:p w14:paraId="3409678B">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（元）</w:t>
            </w:r>
          </w:p>
        </w:tc>
        <w:tc>
          <w:tcPr>
            <w:tcW w:w="658" w:type="pct"/>
            <w:tcBorders>
              <w:top w:val="single" w:color="auto" w:sz="4" w:space="0"/>
              <w:left w:val="single" w:color="auto" w:sz="4" w:space="0"/>
              <w:bottom w:val="single" w:color="auto" w:sz="4" w:space="0"/>
              <w:right w:val="single" w:color="auto" w:sz="4" w:space="0"/>
            </w:tcBorders>
            <w:tcMar>
              <w:top w:w="120" w:type="dxa"/>
              <w:left w:w="0" w:type="dxa"/>
              <w:bottom w:w="0" w:type="dxa"/>
              <w:right w:w="0" w:type="dxa"/>
            </w:tcMar>
            <w:vAlign w:val="center"/>
          </w:tcPr>
          <w:p w14:paraId="40CEFC9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包最高限价（元）</w:t>
            </w:r>
          </w:p>
        </w:tc>
        <w:tc>
          <w:tcPr>
            <w:tcW w:w="750" w:type="pct"/>
            <w:tcBorders>
              <w:top w:val="single" w:color="auto" w:sz="4" w:space="0"/>
              <w:left w:val="single" w:color="auto" w:sz="4" w:space="0"/>
              <w:bottom w:val="single" w:color="auto" w:sz="4" w:space="0"/>
              <w:right w:val="single" w:color="auto" w:sz="4" w:space="0"/>
            </w:tcBorders>
            <w:tcMar>
              <w:top w:w="120" w:type="dxa"/>
              <w:left w:w="0" w:type="dxa"/>
              <w:bottom w:w="0" w:type="dxa"/>
              <w:right w:w="0" w:type="dxa"/>
            </w:tcMar>
            <w:vAlign w:val="center"/>
          </w:tcPr>
          <w:p w14:paraId="4EBEEFC2">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是否专门面向中小企业</w:t>
            </w:r>
          </w:p>
        </w:tc>
        <w:tc>
          <w:tcPr>
            <w:tcW w:w="811" w:type="pct"/>
            <w:tcBorders>
              <w:top w:val="single" w:color="auto" w:sz="4" w:space="0"/>
              <w:left w:val="single" w:color="auto" w:sz="4" w:space="0"/>
              <w:bottom w:val="single" w:color="auto" w:sz="4" w:space="0"/>
              <w:right w:val="single" w:color="auto" w:sz="4" w:space="0"/>
            </w:tcBorders>
            <w:tcMar>
              <w:top w:w="120" w:type="dxa"/>
              <w:left w:w="0" w:type="dxa"/>
              <w:bottom w:w="0" w:type="dxa"/>
              <w:right w:w="0" w:type="dxa"/>
            </w:tcMar>
            <w:vAlign w:val="center"/>
          </w:tcPr>
          <w:p w14:paraId="28761AA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采购预留金额</w:t>
            </w:r>
          </w:p>
          <w:p w14:paraId="3A19916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（元）</w:t>
            </w:r>
          </w:p>
        </w:tc>
      </w:tr>
      <w:tr w14:paraId="73EA0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08" w:type="pct"/>
            <w:tcBorders>
              <w:top w:val="single" w:color="auto" w:sz="4" w:space="0"/>
              <w:left w:val="single" w:color="auto" w:sz="4" w:space="0"/>
              <w:bottom w:val="single" w:color="auto" w:sz="4" w:space="0"/>
              <w:right w:val="single" w:color="auto" w:sz="4" w:space="0"/>
            </w:tcBorders>
            <w:tcMar>
              <w:top w:w="120" w:type="dxa"/>
              <w:left w:w="0" w:type="dxa"/>
              <w:bottom w:w="0" w:type="dxa"/>
              <w:right w:w="0" w:type="dxa"/>
            </w:tcMar>
            <w:vAlign w:val="center"/>
          </w:tcPr>
          <w:p w14:paraId="32BECAF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723" w:type="pct"/>
            <w:tcBorders>
              <w:top w:val="single" w:color="auto" w:sz="4" w:space="0"/>
              <w:left w:val="single" w:color="auto" w:sz="4" w:space="0"/>
              <w:bottom w:val="single" w:color="auto" w:sz="4" w:space="0"/>
              <w:right w:val="single" w:color="auto" w:sz="4" w:space="0"/>
            </w:tcBorders>
            <w:tcMar>
              <w:top w:w="120" w:type="dxa"/>
              <w:left w:w="0" w:type="dxa"/>
              <w:bottom w:w="0" w:type="dxa"/>
              <w:right w:w="0" w:type="dxa"/>
            </w:tcMar>
            <w:vAlign w:val="center"/>
          </w:tcPr>
          <w:p w14:paraId="00FD2620">
            <w:pPr>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汴鼓财磋商采购-202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5-1</w:t>
            </w:r>
          </w:p>
        </w:tc>
        <w:tc>
          <w:tcPr>
            <w:tcW w:w="1279" w:type="pct"/>
            <w:tcBorders>
              <w:top w:val="single" w:color="auto" w:sz="4" w:space="0"/>
              <w:left w:val="single" w:color="auto" w:sz="4" w:space="0"/>
              <w:bottom w:val="single" w:color="auto" w:sz="4" w:space="0"/>
              <w:right w:val="single" w:color="auto" w:sz="4" w:space="0"/>
            </w:tcBorders>
            <w:tcMar>
              <w:top w:w="120" w:type="dxa"/>
              <w:left w:w="0" w:type="dxa"/>
              <w:bottom w:w="0" w:type="dxa"/>
              <w:right w:w="0" w:type="dxa"/>
            </w:tcMar>
            <w:vAlign w:val="center"/>
          </w:tcPr>
          <w:p w14:paraId="0F6A5B6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开封市鼓楼区消防救援大队伙食配送定点单位采购项目</w:t>
            </w:r>
          </w:p>
        </w:tc>
        <w:tc>
          <w:tcPr>
            <w:tcW w:w="567" w:type="pct"/>
            <w:tcBorders>
              <w:top w:val="single" w:color="auto" w:sz="4" w:space="0"/>
              <w:left w:val="single" w:color="auto" w:sz="4" w:space="0"/>
              <w:bottom w:val="single" w:color="auto" w:sz="4" w:space="0"/>
              <w:right w:val="single" w:color="auto" w:sz="4" w:space="0"/>
            </w:tcBorders>
            <w:tcMar>
              <w:top w:w="120" w:type="dxa"/>
              <w:left w:w="0" w:type="dxa"/>
              <w:bottom w:w="0" w:type="dxa"/>
              <w:right w:w="0" w:type="dxa"/>
            </w:tcMar>
            <w:vAlign w:val="center"/>
          </w:tcPr>
          <w:p w14:paraId="39EA819E">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val="en-US" w:eastAsia="zh-CN"/>
              </w:rPr>
              <w:t>145</w:t>
            </w:r>
            <w:r>
              <w:rPr>
                <w:rFonts w:hint="eastAsia" w:ascii="仿宋" w:hAnsi="仿宋" w:eastAsia="仿宋" w:cs="仿宋"/>
                <w:sz w:val="24"/>
                <w:szCs w:val="24"/>
                <w:highlight w:val="none"/>
              </w:rPr>
              <w:t>00.00</w:t>
            </w:r>
          </w:p>
        </w:tc>
        <w:tc>
          <w:tcPr>
            <w:tcW w:w="658" w:type="pct"/>
            <w:tcBorders>
              <w:top w:val="single" w:color="auto" w:sz="4" w:space="0"/>
              <w:left w:val="single" w:color="auto" w:sz="4" w:space="0"/>
              <w:bottom w:val="single" w:color="auto" w:sz="4" w:space="0"/>
              <w:right w:val="single" w:color="auto" w:sz="4" w:space="0"/>
            </w:tcBorders>
            <w:tcMar>
              <w:top w:w="120" w:type="dxa"/>
              <w:left w:w="0" w:type="dxa"/>
              <w:bottom w:w="0" w:type="dxa"/>
              <w:right w:w="0" w:type="dxa"/>
            </w:tcMar>
            <w:vAlign w:val="center"/>
          </w:tcPr>
          <w:p w14:paraId="1CC5E63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val="en-US" w:eastAsia="zh-CN"/>
              </w:rPr>
              <w:t>145</w:t>
            </w:r>
            <w:r>
              <w:rPr>
                <w:rFonts w:hint="eastAsia" w:ascii="仿宋" w:hAnsi="仿宋" w:eastAsia="仿宋" w:cs="仿宋"/>
                <w:sz w:val="24"/>
                <w:szCs w:val="24"/>
                <w:highlight w:val="none"/>
              </w:rPr>
              <w:t>00.00</w:t>
            </w:r>
          </w:p>
        </w:tc>
        <w:tc>
          <w:tcPr>
            <w:tcW w:w="750" w:type="pct"/>
            <w:tcBorders>
              <w:top w:val="single" w:color="auto" w:sz="4" w:space="0"/>
              <w:left w:val="single" w:color="auto" w:sz="4" w:space="0"/>
              <w:bottom w:val="single" w:color="auto" w:sz="4" w:space="0"/>
              <w:right w:val="single" w:color="auto" w:sz="4" w:space="0"/>
            </w:tcBorders>
            <w:tcMar>
              <w:top w:w="120" w:type="dxa"/>
              <w:left w:w="0" w:type="dxa"/>
              <w:bottom w:w="0" w:type="dxa"/>
              <w:right w:w="0" w:type="dxa"/>
            </w:tcMar>
            <w:vAlign w:val="center"/>
          </w:tcPr>
          <w:p w14:paraId="560E55A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w:t>
            </w:r>
          </w:p>
        </w:tc>
        <w:tc>
          <w:tcPr>
            <w:tcW w:w="811" w:type="pct"/>
            <w:tcBorders>
              <w:top w:val="single" w:color="auto" w:sz="4" w:space="0"/>
              <w:left w:val="single" w:color="auto" w:sz="4" w:space="0"/>
              <w:bottom w:val="single" w:color="auto" w:sz="4" w:space="0"/>
              <w:right w:val="single" w:color="auto" w:sz="4" w:space="0"/>
            </w:tcBorders>
            <w:tcMar>
              <w:top w:w="120" w:type="dxa"/>
              <w:left w:w="0" w:type="dxa"/>
              <w:bottom w:w="0" w:type="dxa"/>
              <w:right w:w="0" w:type="dxa"/>
            </w:tcMar>
            <w:vAlign w:val="center"/>
          </w:tcPr>
          <w:p w14:paraId="5738914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val="en-US" w:eastAsia="zh-CN"/>
              </w:rPr>
              <w:t>145</w:t>
            </w:r>
            <w:r>
              <w:rPr>
                <w:rFonts w:hint="eastAsia" w:ascii="仿宋" w:hAnsi="仿宋" w:eastAsia="仿宋" w:cs="仿宋"/>
                <w:sz w:val="24"/>
                <w:szCs w:val="24"/>
                <w:highlight w:val="none"/>
              </w:rPr>
              <w:t>00.00</w:t>
            </w:r>
          </w:p>
        </w:tc>
      </w:tr>
    </w:tbl>
    <w:p w14:paraId="1F4FF010">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5、采购需求（包括但不限于标的的名称、数量、简要技术需求或服务要求等） </w:t>
      </w:r>
    </w:p>
    <w:p w14:paraId="61DA243F">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（1）资金来源：</w:t>
      </w:r>
      <w:r>
        <w:rPr>
          <w:rFonts w:hint="eastAsia" w:ascii="仿宋" w:hAnsi="仿宋" w:eastAsia="仿宋" w:cs="仿宋"/>
          <w:sz w:val="24"/>
          <w:szCs w:val="24"/>
          <w:highlight w:val="none"/>
          <w:lang w:val="en-US" w:eastAsia="zh-CN"/>
        </w:rPr>
        <w:t>中央+地方</w:t>
      </w:r>
      <w:r>
        <w:rPr>
          <w:rFonts w:hint="eastAsia" w:ascii="仿宋" w:hAnsi="仿宋" w:eastAsia="仿宋" w:cs="仿宋"/>
          <w:sz w:val="24"/>
          <w:szCs w:val="24"/>
          <w:highlight w:val="none"/>
        </w:rPr>
        <w:t>财政资金</w:t>
      </w:r>
    </w:p>
    <w:p w14:paraId="4EA7EBFF">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（2）服务期限：一年</w:t>
      </w:r>
    </w:p>
    <w:p w14:paraId="223B17D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（3）质量要求：合格</w:t>
      </w:r>
    </w:p>
    <w:p w14:paraId="062C9E4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（4）采购内容：开封市鼓楼区消防救援大队伙食配送定点单位采购，包含但不仅限于蔬菜水果、粮油、肉蛋禽类、奶类、副食、干调等。</w:t>
      </w:r>
    </w:p>
    <w:p w14:paraId="26F97183">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6、合同履行期限：同服务期限 </w:t>
      </w:r>
    </w:p>
    <w:p w14:paraId="256A67A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7、本项目是否接受联合体投标：否 </w:t>
      </w:r>
    </w:p>
    <w:p w14:paraId="61836D8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8、是否接受进口产品：否 </w:t>
      </w:r>
    </w:p>
    <w:p w14:paraId="32C3A12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9、是否专门面向中小企业：是 </w:t>
      </w:r>
    </w:p>
    <w:p w14:paraId="31CE9736">
      <w:pP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二、申请人资格要求：</w:t>
      </w:r>
      <w:r>
        <w:rPr>
          <w:rFonts w:hint="eastAsia" w:ascii="仿宋" w:hAnsi="仿宋" w:eastAsia="仿宋" w:cs="仿宋"/>
          <w:sz w:val="24"/>
          <w:szCs w:val="24"/>
          <w:highlight w:val="none"/>
        </w:rPr>
        <w:t xml:space="preserve"> </w:t>
      </w:r>
    </w:p>
    <w:p w14:paraId="615298B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1、满足《中华人民共和国政府采购法》第二十二条规定； </w:t>
      </w:r>
    </w:p>
    <w:p w14:paraId="07EBE643">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2、落实政府采购政策需满足的资格要求：</w:t>
      </w:r>
    </w:p>
    <w:p w14:paraId="413B631A">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本项目专门面向中小微企业，提供中小企业声明函或残疾人福利性单位声明函或监狱企业证明。</w:t>
      </w:r>
    </w:p>
    <w:p w14:paraId="7F226F1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3、本项目的特定资格要求 </w:t>
      </w:r>
    </w:p>
    <w:p w14:paraId="44AD367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3.1 具有独立承担民事责任的能力(提供有效的营业执照)；</w:t>
      </w:r>
    </w:p>
    <w:p w14:paraId="6519567E">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3.2 具有良好的商业信誉和健全的财务会计制度（须提供企业</w:t>
      </w:r>
      <w:r>
        <w:rPr>
          <w:rFonts w:hint="eastAsia" w:ascii="仿宋" w:hAnsi="仿宋" w:eastAsia="仿宋" w:cs="仿宋"/>
          <w:sz w:val="24"/>
          <w:szCs w:val="24"/>
          <w:highlight w:val="none"/>
          <w:lang w:val="en-US" w:eastAsia="zh-CN"/>
        </w:rPr>
        <w:t>2024</w:t>
      </w:r>
      <w:r>
        <w:rPr>
          <w:rFonts w:hint="eastAsia" w:ascii="仿宋" w:hAnsi="仿宋" w:eastAsia="仿宋" w:cs="仿宋"/>
          <w:sz w:val="24"/>
          <w:szCs w:val="24"/>
          <w:highlight w:val="none"/>
        </w:rPr>
        <w:t>年度经会计师事务所或审计机构审计的财务审计报告；成立不满一年的公司从成立之日起，按实际情况提供最新的财务报表或开户行出具的资信证明）；</w:t>
      </w:r>
    </w:p>
    <w:p w14:paraId="495D8446">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3.3 具有履行合同所必需的设备和专业技术能力（提供承诺书，格式自拟）；</w:t>
      </w:r>
    </w:p>
    <w:p w14:paraId="77B6C59C">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3.4 有依法缴纳税收和社会保障资金的良好记录（提供202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年1月以来任意1个月依法缴纳税收和社会保障资金的证明材料，依法免税或不需要缴纳社会保障资金的投标人，应提供相应证明文件）；</w:t>
      </w:r>
    </w:p>
    <w:p w14:paraId="3F74C25B">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3.5 参加政府采购活动前三年内，在经营活动中没有重大违法记录（提供承诺书，格式自拟）；</w:t>
      </w:r>
    </w:p>
    <w:p w14:paraId="6EC3A466">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3.6 法律、行政法规规定的其他条件。</w:t>
      </w:r>
    </w:p>
    <w:p w14:paraId="3E54735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3.7 供应商须提供有效食品经营许可证。</w:t>
      </w:r>
    </w:p>
    <w:p w14:paraId="6917628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信誉要求：本项目投标截止日期前对列入失信被执行人、重大税收违法失信主体和政府采购严重违法失信行为记录名单的投标人（处罚期限尚未届满的），拒绝参与本项目政府采购活动；【查询渠道：中国执行信息公开网（http://zxgk.court.gov.cn/shixin/）查询失信被执行人，“信用中国”网站（www.creditchina.gov.cn）查询重大税收违法失信主体，中国政府采购网（www.ccgp.gov.cn）查询政府采购严重违法失信行为记录名单】；提供网页查询截图，查询时间不得早于公告发布日期。</w:t>
      </w:r>
    </w:p>
    <w:p w14:paraId="17E38EF5">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bCs/>
          <w:sz w:val="24"/>
          <w:szCs w:val="24"/>
          <w:highlight w:val="none"/>
        </w:rPr>
        <w:t>单位负责人为同一人或者存在直接控股、管理关系的不同投标人，不得参加同一合同项下的政府采购活动。</w:t>
      </w:r>
      <w:r>
        <w:rPr>
          <w:rFonts w:hint="eastAsia" w:ascii="仿宋" w:hAnsi="仿宋" w:eastAsia="仿宋" w:cs="仿宋"/>
          <w:kern w:val="44"/>
          <w:sz w:val="24"/>
          <w:szCs w:val="24"/>
          <w:highlight w:val="none"/>
        </w:rPr>
        <w:t>提供在“国家企业信用信息公示系统”中查询打印的相关材料并加盖公章（需包含公司基本信息、股东信息及股权变更信息）。</w:t>
      </w:r>
    </w:p>
    <w:p w14:paraId="5C496E54">
      <w:pPr>
        <w:spacing w:line="360" w:lineRule="auto"/>
        <w:rPr>
          <w:rFonts w:hint="eastAsia" w:ascii="仿宋" w:hAnsi="仿宋" w:eastAsia="仿宋" w:cs="仿宋"/>
          <w:highlight w:val="none"/>
        </w:rPr>
      </w:pPr>
      <w:r>
        <w:rPr>
          <w:rFonts w:hint="eastAsia" w:ascii="仿宋" w:hAnsi="仿宋" w:eastAsia="仿宋" w:cs="仿宋"/>
          <w:sz w:val="24"/>
          <w:szCs w:val="24"/>
          <w:highlight w:val="none"/>
        </w:rPr>
        <w:t xml:space="preserve">6、本项目不接受联合体投标。 </w:t>
      </w:r>
      <w:r>
        <w:rPr>
          <w:rFonts w:hint="eastAsia" w:ascii="仿宋" w:hAnsi="仿宋" w:eastAsia="仿宋" w:cs="仿宋"/>
          <w:highlight w:val="none"/>
        </w:rPr>
        <w:t xml:space="preserve"> </w:t>
      </w:r>
    </w:p>
    <w:p w14:paraId="20994872">
      <w:pP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三、获取采购文件</w:t>
      </w:r>
      <w:r>
        <w:rPr>
          <w:rFonts w:hint="eastAsia" w:ascii="仿宋" w:hAnsi="仿宋" w:eastAsia="仿宋" w:cs="仿宋"/>
          <w:sz w:val="24"/>
          <w:szCs w:val="24"/>
          <w:highlight w:val="none"/>
        </w:rPr>
        <w:t xml:space="preserve"> </w:t>
      </w:r>
    </w:p>
    <w:p w14:paraId="27966560">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1.时间：202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06</w:t>
      </w:r>
      <w:r>
        <w:rPr>
          <w:rFonts w:hint="eastAsia" w:ascii="仿宋" w:hAnsi="仿宋" w:eastAsia="仿宋" w:cs="仿宋"/>
          <w:sz w:val="24"/>
          <w:szCs w:val="24"/>
          <w:highlight w:val="none"/>
        </w:rPr>
        <w:t>日至202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17</w:t>
      </w:r>
      <w:r>
        <w:rPr>
          <w:rFonts w:hint="eastAsia" w:ascii="仿宋" w:hAnsi="仿宋" w:eastAsia="仿宋" w:cs="仿宋"/>
          <w:sz w:val="24"/>
          <w:szCs w:val="24"/>
          <w:highlight w:val="none"/>
        </w:rPr>
        <w:t>日，每天上午00:0</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至12:00，下午12:0</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 xml:space="preserve">至23:59（北京时间，法定节假日除外。） </w:t>
      </w:r>
    </w:p>
    <w:p w14:paraId="5A169D4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2.地点：开封市公共资源交易信息网 </w:t>
      </w:r>
    </w:p>
    <w:p w14:paraId="4B7242F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方式：供应商应注册成为开封市公共资源交易中心网站会员并取得CA密钥，在开封市公共资源交易中心网站http://www.kfsggzyjyw.cn登录政采、工程业务系统，凭CA密钥登录会员系统下载招标文件。供应商系统操作手册在开封市公共资源交易中心网站http://www.kfsggzyjyw.cn查看，请供应商时刻关注开封市公共资源交易中心网站和公司CA密钥推送消息。查询竞争性磋商文件方式：潜在投标人、供应商可打开开封市公共资源交易中心网站http://www.kfsggzyjyw.cn首页“流程公开”里查询竞争性磋商文件。 </w:t>
      </w:r>
    </w:p>
    <w:p w14:paraId="2257B841">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4.售价：0元 </w:t>
      </w:r>
    </w:p>
    <w:p w14:paraId="6F263BDF">
      <w:pP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四、响应文件提交</w:t>
      </w:r>
      <w:r>
        <w:rPr>
          <w:rFonts w:hint="eastAsia" w:ascii="仿宋" w:hAnsi="仿宋" w:eastAsia="仿宋" w:cs="仿宋"/>
          <w:sz w:val="24"/>
          <w:szCs w:val="24"/>
          <w:highlight w:val="none"/>
        </w:rPr>
        <w:t xml:space="preserve"> </w:t>
      </w:r>
    </w:p>
    <w:p w14:paraId="072CFE1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1.截止时间：202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18</w:t>
      </w:r>
      <w:r>
        <w:rPr>
          <w:rFonts w:hint="eastAsia" w:ascii="仿宋" w:hAnsi="仿宋" w:eastAsia="仿宋" w:cs="仿宋"/>
          <w:sz w:val="24"/>
          <w:szCs w:val="24"/>
          <w:highlight w:val="none"/>
        </w:rPr>
        <w:t>日09时</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 xml:space="preserve">分（北京时间） </w:t>
      </w:r>
    </w:p>
    <w:p w14:paraId="6E6A191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2.地点：开封市公共资源交易中心网站</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"http://ggzy.lankao.gov.cn/" </w:instrText>
      </w:r>
      <w:r>
        <w:rPr>
          <w:rFonts w:hint="eastAsia" w:ascii="仿宋" w:hAnsi="仿宋" w:eastAsia="仿宋" w:cs="仿宋"/>
          <w:sz w:val="24"/>
          <w:szCs w:val="24"/>
          <w:highlight w:val="none"/>
        </w:rPr>
        <w:fldChar w:fldCharType="separate"/>
      </w:r>
      <w:r>
        <w:rPr>
          <w:rStyle w:val="20"/>
          <w:rFonts w:hint="eastAsia" w:ascii="仿宋" w:hAnsi="仿宋" w:eastAsia="仿宋" w:cs="仿宋"/>
          <w:sz w:val="24"/>
          <w:szCs w:val="24"/>
          <w:highlight w:val="none"/>
        </w:rPr>
        <w:t>http://kfggzy.kaifeng.gov.cn</w:t>
      </w:r>
      <w:r>
        <w:rPr>
          <w:rStyle w:val="20"/>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t xml:space="preserve">会员系统中加密上传。（投标文件逾期未上传或未上传成功的，采购人不予受理） </w:t>
      </w:r>
    </w:p>
    <w:p w14:paraId="1696855E">
      <w:pP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五、响应文件开启</w:t>
      </w:r>
      <w:r>
        <w:rPr>
          <w:rFonts w:hint="eastAsia" w:ascii="仿宋" w:hAnsi="仿宋" w:eastAsia="仿宋" w:cs="仿宋"/>
          <w:sz w:val="24"/>
          <w:szCs w:val="24"/>
          <w:highlight w:val="none"/>
        </w:rPr>
        <w:t xml:space="preserve"> </w:t>
      </w:r>
    </w:p>
    <w:p w14:paraId="36E60B3F">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1.时间：202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18</w:t>
      </w:r>
      <w:r>
        <w:rPr>
          <w:rFonts w:hint="eastAsia" w:ascii="仿宋" w:hAnsi="仿宋" w:eastAsia="仿宋" w:cs="仿宋"/>
          <w:sz w:val="24"/>
          <w:szCs w:val="24"/>
          <w:highlight w:val="none"/>
        </w:rPr>
        <w:t>日09时</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 xml:space="preserve">分（北京时间） </w:t>
      </w:r>
    </w:p>
    <w:p w14:paraId="23E618C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2.地点：</w:t>
      </w:r>
      <w:r>
        <w:rPr>
          <w:rFonts w:hint="eastAsia" w:ascii="仿宋" w:hAnsi="仿宋" w:eastAsia="仿宋" w:cs="仿宋"/>
          <w:color w:val="auto"/>
          <w:sz w:val="24"/>
          <w:szCs w:val="24"/>
          <w:highlight w:val="none"/>
        </w:rPr>
        <w:t>开封市郑开大道与三大街交叉口路北市民之家五楼西B区（开标区）</w:t>
      </w:r>
      <w:r>
        <w:rPr>
          <w:rFonts w:hint="eastAsia" w:ascii="仿宋" w:hAnsi="仿宋" w:eastAsia="仿宋" w:cs="仿宋"/>
          <w:sz w:val="24"/>
          <w:szCs w:val="24"/>
          <w:highlight w:val="none"/>
        </w:rPr>
        <w:t xml:space="preserve"> </w:t>
      </w:r>
    </w:p>
    <w:p w14:paraId="1053B19A">
      <w:pP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六、发布公告的媒介及招标公告期限</w:t>
      </w:r>
      <w:r>
        <w:rPr>
          <w:rFonts w:hint="eastAsia" w:ascii="仿宋" w:hAnsi="仿宋" w:eastAsia="仿宋" w:cs="仿宋"/>
          <w:sz w:val="24"/>
          <w:szCs w:val="24"/>
          <w:highlight w:val="none"/>
        </w:rPr>
        <w:t xml:space="preserve"> </w:t>
      </w:r>
    </w:p>
    <w:p w14:paraId="3D20BBCD">
      <w:pPr>
        <w:spacing w:line="360" w:lineRule="auto"/>
        <w:ind w:firstLine="480" w:firstLineChars="200"/>
        <w:rPr>
          <w:rFonts w:hint="eastAsia" w:ascii="仿宋" w:hAnsi="仿宋" w:eastAsia="仿宋" w:cs="仿宋"/>
          <w:highlight w:val="none"/>
        </w:rPr>
      </w:pPr>
      <w:r>
        <w:rPr>
          <w:rFonts w:hint="eastAsia" w:ascii="仿宋" w:hAnsi="仿宋" w:eastAsia="仿宋" w:cs="仿宋"/>
          <w:sz w:val="24"/>
          <w:szCs w:val="24"/>
          <w:highlight w:val="none"/>
        </w:rPr>
        <w:t>本次招标公告在《中国招标投标公共服务平台》、《河南省政府采购网》、《</w:t>
      </w:r>
      <w:r>
        <w:rPr>
          <w:rFonts w:hint="eastAsia" w:ascii="仿宋" w:hAnsi="仿宋" w:eastAsia="仿宋" w:cs="仿宋"/>
          <w:sz w:val="24"/>
          <w:szCs w:val="24"/>
          <w:highlight w:val="none"/>
          <w:lang w:val="en-US" w:eastAsia="zh-CN"/>
        </w:rPr>
        <w:t>开封市</w:t>
      </w:r>
      <w:r>
        <w:rPr>
          <w:rFonts w:hint="eastAsia" w:ascii="仿宋" w:hAnsi="仿宋" w:eastAsia="仿宋" w:cs="仿宋"/>
          <w:sz w:val="24"/>
          <w:szCs w:val="24"/>
          <w:highlight w:val="none"/>
        </w:rPr>
        <w:t>政府采购网》</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《开封市公共资源交易信息网》</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中国采购与招标网</w:t>
      </w:r>
      <w:r>
        <w:rPr>
          <w:rFonts w:hint="eastAsia" w:ascii="仿宋" w:hAnsi="仿宋" w:eastAsia="仿宋" w:cs="仿宋"/>
          <w:sz w:val="24"/>
          <w:szCs w:val="24"/>
          <w:highlight w:val="none"/>
        </w:rPr>
        <w:t>》上发布，招标公告期限为</w:t>
      </w:r>
      <w:r>
        <w:rPr>
          <w:rFonts w:hint="eastAsia" w:ascii="仿宋" w:hAnsi="仿宋" w:eastAsia="仿宋" w:cs="仿宋"/>
          <w:sz w:val="24"/>
          <w:szCs w:val="24"/>
          <w:highlight w:val="none"/>
          <w:lang w:val="en-US" w:eastAsia="zh-CN"/>
        </w:rPr>
        <w:t>三</w:t>
      </w:r>
      <w:r>
        <w:rPr>
          <w:rFonts w:hint="eastAsia" w:ascii="仿宋" w:hAnsi="仿宋" w:eastAsia="仿宋" w:cs="仿宋"/>
          <w:sz w:val="24"/>
          <w:szCs w:val="24"/>
          <w:highlight w:val="none"/>
        </w:rPr>
        <w:t xml:space="preserve">个工作日 。 </w:t>
      </w:r>
      <w:r>
        <w:rPr>
          <w:rFonts w:hint="eastAsia" w:ascii="仿宋" w:hAnsi="仿宋" w:eastAsia="仿宋" w:cs="仿宋"/>
          <w:highlight w:val="none"/>
        </w:rPr>
        <w:t xml:space="preserve"> </w:t>
      </w:r>
    </w:p>
    <w:p w14:paraId="58EDA52F">
      <w:pP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七、其他补充事宜</w:t>
      </w:r>
      <w:r>
        <w:rPr>
          <w:rFonts w:hint="eastAsia" w:ascii="仿宋" w:hAnsi="仿宋" w:eastAsia="仿宋" w:cs="仿宋"/>
          <w:sz w:val="24"/>
          <w:szCs w:val="24"/>
          <w:highlight w:val="none"/>
        </w:rPr>
        <w:t xml:space="preserve"> </w:t>
      </w:r>
    </w:p>
    <w:p w14:paraId="278CD2F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监督部门：开封市鼓楼区财政局政府采购办公室</w:t>
      </w:r>
    </w:p>
    <w:p w14:paraId="017A9E35">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联系电话：0371-27889359</w:t>
      </w:r>
    </w:p>
    <w:p w14:paraId="6B8814DF">
      <w:pP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八、凡对本次招标提出询问，请按照以下方式联系</w:t>
      </w:r>
      <w:r>
        <w:rPr>
          <w:rFonts w:hint="eastAsia" w:ascii="仿宋" w:hAnsi="仿宋" w:eastAsia="仿宋" w:cs="仿宋"/>
          <w:sz w:val="24"/>
          <w:szCs w:val="24"/>
          <w:highlight w:val="none"/>
        </w:rPr>
        <w:t xml:space="preserve"> </w:t>
      </w:r>
    </w:p>
    <w:p w14:paraId="6CF6EE1F">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采购人信息 </w:t>
      </w:r>
    </w:p>
    <w:p w14:paraId="6EBC7C79">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名称：开封市鼓楼区消防救援大队 </w:t>
      </w:r>
    </w:p>
    <w:p w14:paraId="2D1E989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地址：河南省开封市鼓楼区卧龙街85号 </w:t>
      </w:r>
    </w:p>
    <w:p w14:paraId="7CC33AF1">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联系人：万先生 </w:t>
      </w:r>
    </w:p>
    <w:p w14:paraId="6839B80E">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联系方式：15237816770 </w:t>
      </w:r>
    </w:p>
    <w:p w14:paraId="7C76A99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2.采购代理机构信息（如有） </w:t>
      </w:r>
    </w:p>
    <w:p w14:paraId="3748F025">
      <w:pPr>
        <w:spacing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名  称：</w:t>
      </w:r>
      <w:r>
        <w:rPr>
          <w:rFonts w:hint="eastAsia" w:ascii="仿宋" w:hAnsi="仿宋" w:eastAsia="仿宋" w:cs="仿宋"/>
          <w:sz w:val="24"/>
          <w:szCs w:val="24"/>
          <w:highlight w:val="none"/>
          <w:lang w:eastAsia="zh-CN"/>
        </w:rPr>
        <w:t>河南财缘项目管理有限公司</w:t>
      </w:r>
    </w:p>
    <w:p w14:paraId="48DD1226">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地  址：开封市龙亭区集英街 152 号</w:t>
      </w:r>
    </w:p>
    <w:p w14:paraId="6428E7AF">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联系人：王先生 </w:t>
      </w:r>
    </w:p>
    <w:p w14:paraId="0C5F4905">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联系方式：</w:t>
      </w:r>
      <w:r>
        <w:rPr>
          <w:rFonts w:hint="eastAsia" w:ascii="仿宋" w:hAnsi="仿宋" w:eastAsia="仿宋" w:cs="仿宋"/>
          <w:sz w:val="24"/>
          <w:szCs w:val="24"/>
          <w:highlight w:val="none"/>
          <w:lang w:val="en-US" w:eastAsia="zh-CN"/>
        </w:rPr>
        <w:t>0371-23261888</w:t>
      </w:r>
    </w:p>
    <w:p w14:paraId="44A6D6FB">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3.项目联系方式 </w:t>
      </w:r>
    </w:p>
    <w:p w14:paraId="671F3944">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项目联系人：王先生 </w:t>
      </w:r>
    </w:p>
    <w:p w14:paraId="5471204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联系方式：</w:t>
      </w:r>
      <w:r>
        <w:rPr>
          <w:rFonts w:hint="eastAsia" w:ascii="仿宋" w:hAnsi="仿宋" w:eastAsia="仿宋" w:cs="仿宋"/>
          <w:sz w:val="24"/>
          <w:szCs w:val="24"/>
          <w:highlight w:val="none"/>
          <w:lang w:val="en-US" w:eastAsia="zh-CN"/>
        </w:rPr>
        <w:t>0371-23261888</w:t>
      </w:r>
    </w:p>
    <w:p w14:paraId="15DD77A3">
      <w:pPr>
        <w:bidi w:val="0"/>
        <w:spacing w:line="360" w:lineRule="auto"/>
        <w:rPr>
          <w:rFonts w:hint="eastAsia" w:ascii="仿宋" w:hAnsi="仿宋" w:eastAsia="仿宋" w:cs="仿宋"/>
          <w:highlight w:val="none"/>
        </w:rPr>
        <w:sectPr>
          <w:pgSz w:w="11906" w:h="16839"/>
          <w:pgMar w:top="1431" w:right="1281" w:bottom="1157" w:left="1165" w:header="0" w:footer="992" w:gutter="0"/>
          <w:pgNumType w:fmt="decimal"/>
          <w:cols w:space="720" w:num="1"/>
        </w:sectPr>
      </w:pPr>
    </w:p>
    <w:p w14:paraId="36E452C6">
      <w:pPr>
        <w:pStyle w:val="5"/>
        <w:spacing w:line="360" w:lineRule="auto"/>
        <w:rPr>
          <w:rFonts w:hint="eastAsia" w:ascii="仿宋" w:hAnsi="仿宋" w:eastAsia="仿宋" w:cs="仿宋"/>
          <w:highlight w:val="none"/>
        </w:rPr>
      </w:pPr>
    </w:p>
    <w:p w14:paraId="44B33238">
      <w:pPr>
        <w:spacing w:before="101" w:line="360" w:lineRule="auto"/>
        <w:ind w:left="3847"/>
        <w:outlineLvl w:val="0"/>
        <w:rPr>
          <w:rFonts w:hint="eastAsia" w:ascii="仿宋" w:hAnsi="仿宋" w:eastAsia="仿宋" w:cs="仿宋"/>
          <w:b/>
          <w:bCs/>
          <w:sz w:val="31"/>
          <w:szCs w:val="31"/>
          <w:highlight w:val="none"/>
        </w:rPr>
      </w:pPr>
      <w:bookmarkStart w:id="9" w:name="_Toc5143"/>
      <w:bookmarkEnd w:id="9"/>
      <w:bookmarkStart w:id="10" w:name="_Toc28921"/>
      <w:r>
        <w:rPr>
          <w:rFonts w:hint="eastAsia" w:ascii="仿宋" w:hAnsi="仿宋" w:eastAsia="仿宋" w:cs="仿宋"/>
          <w:b/>
          <w:bCs/>
          <w:spacing w:val="8"/>
          <w:sz w:val="31"/>
          <w:szCs w:val="31"/>
          <w:highlight w:val="none"/>
        </w:rPr>
        <w:t>第二章 供应商须知</w:t>
      </w:r>
      <w:bookmarkEnd w:id="10"/>
    </w:p>
    <w:p w14:paraId="15401527">
      <w:pPr>
        <w:bidi w:val="0"/>
        <w:spacing w:line="360" w:lineRule="auto"/>
        <w:jc w:val="center"/>
        <w:rPr>
          <w:rFonts w:hint="eastAsia" w:ascii="仿宋" w:hAnsi="仿宋" w:eastAsia="仿宋" w:cs="仿宋"/>
          <w:b/>
          <w:bCs/>
          <w:sz w:val="24"/>
          <w:szCs w:val="24"/>
          <w:highlight w:val="none"/>
        </w:rPr>
      </w:pPr>
      <w:bookmarkStart w:id="11" w:name="_Toc1812"/>
      <w:bookmarkEnd w:id="11"/>
      <w:bookmarkStart w:id="12" w:name="_Toc23944"/>
      <w:r>
        <w:rPr>
          <w:rFonts w:hint="eastAsia" w:ascii="仿宋" w:hAnsi="仿宋" w:eastAsia="仿宋" w:cs="仿宋"/>
          <w:b/>
          <w:bCs/>
          <w:sz w:val="24"/>
          <w:szCs w:val="24"/>
          <w:highlight w:val="none"/>
        </w:rPr>
        <w:t>供应商须知前附表</w:t>
      </w:r>
      <w:bookmarkEnd w:id="12"/>
    </w:p>
    <w:tbl>
      <w:tblPr>
        <w:tblStyle w:val="34"/>
        <w:tblW w:w="9955" w:type="dxa"/>
        <w:tblInd w:w="44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8"/>
        <w:gridCol w:w="2327"/>
        <w:gridCol w:w="6900"/>
      </w:tblGrid>
      <w:tr w14:paraId="262E18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47481D6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327" w:type="dxa"/>
            <w:tcBorders>
              <w:top w:val="single" w:color="000000" w:sz="2" w:space="0"/>
              <w:left w:val="single" w:color="000000" w:sz="2" w:space="0"/>
              <w:bottom w:val="single" w:color="000000" w:sz="2" w:space="0"/>
              <w:right w:val="single" w:color="000000" w:sz="2" w:space="0"/>
            </w:tcBorders>
            <w:vAlign w:val="center"/>
          </w:tcPr>
          <w:p w14:paraId="612B01BB">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条 款 名 称</w:t>
            </w:r>
          </w:p>
        </w:tc>
        <w:tc>
          <w:tcPr>
            <w:tcW w:w="6900" w:type="dxa"/>
            <w:tcBorders>
              <w:top w:val="single" w:color="000000" w:sz="2" w:space="0"/>
              <w:left w:val="single" w:color="000000" w:sz="2" w:space="0"/>
              <w:bottom w:val="single" w:color="000000" w:sz="2" w:space="0"/>
              <w:right w:val="single" w:color="000000" w:sz="2" w:space="0"/>
            </w:tcBorders>
            <w:vAlign w:val="center"/>
          </w:tcPr>
          <w:p w14:paraId="2BF40A9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编 列 内 容</w:t>
            </w:r>
          </w:p>
        </w:tc>
      </w:tr>
      <w:tr w14:paraId="6BD40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6"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60839B5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2327" w:type="dxa"/>
            <w:tcBorders>
              <w:top w:val="single" w:color="000000" w:sz="2" w:space="0"/>
              <w:left w:val="single" w:color="000000" w:sz="2" w:space="0"/>
              <w:bottom w:val="single" w:color="000000" w:sz="2" w:space="0"/>
              <w:right w:val="single" w:color="000000" w:sz="2" w:space="0"/>
            </w:tcBorders>
            <w:vAlign w:val="center"/>
          </w:tcPr>
          <w:p w14:paraId="1863983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rPr>
              <w:t>人</w:t>
            </w:r>
          </w:p>
        </w:tc>
        <w:tc>
          <w:tcPr>
            <w:tcW w:w="6900" w:type="dxa"/>
            <w:tcBorders>
              <w:top w:val="single" w:color="000000" w:sz="2" w:space="0"/>
              <w:left w:val="single" w:color="000000" w:sz="2" w:space="0"/>
              <w:bottom w:val="single" w:color="000000" w:sz="2" w:space="0"/>
              <w:right w:val="single" w:color="000000" w:sz="2" w:space="0"/>
            </w:tcBorders>
            <w:vAlign w:val="center"/>
          </w:tcPr>
          <w:p w14:paraId="445EFEB1">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名称：开封市鼓楼区消防救援大队 </w:t>
            </w:r>
          </w:p>
          <w:p w14:paraId="3938E9BD">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地址：河南省开封市鼓楼区卧龙街85号 </w:t>
            </w:r>
          </w:p>
          <w:p w14:paraId="5D77A2A5">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联系人：万先生 </w:t>
            </w:r>
          </w:p>
          <w:p w14:paraId="6143B05B">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联系方式：15237816770 </w:t>
            </w:r>
          </w:p>
        </w:tc>
      </w:tr>
      <w:tr w14:paraId="1995FD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7BFE5EC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2327" w:type="dxa"/>
            <w:tcBorders>
              <w:top w:val="single" w:color="000000" w:sz="2" w:space="0"/>
              <w:left w:val="single" w:color="000000" w:sz="2" w:space="0"/>
              <w:bottom w:val="single" w:color="000000" w:sz="2" w:space="0"/>
              <w:right w:val="single" w:color="000000" w:sz="2" w:space="0"/>
            </w:tcBorders>
            <w:vAlign w:val="center"/>
          </w:tcPr>
          <w:p w14:paraId="67C42A8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代理机构</w:t>
            </w:r>
          </w:p>
        </w:tc>
        <w:tc>
          <w:tcPr>
            <w:tcW w:w="6900" w:type="dxa"/>
            <w:tcBorders>
              <w:top w:val="single" w:color="000000" w:sz="2" w:space="0"/>
              <w:left w:val="single" w:color="000000" w:sz="2" w:space="0"/>
              <w:bottom w:val="single" w:color="000000" w:sz="2" w:space="0"/>
              <w:right w:val="single" w:color="000000" w:sz="2" w:space="0"/>
            </w:tcBorders>
            <w:vAlign w:val="center"/>
          </w:tcPr>
          <w:p w14:paraId="7695E91B">
            <w:pPr>
              <w:spacing w:line="360" w:lineRule="auto"/>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名  称：</w:t>
            </w:r>
            <w:r>
              <w:rPr>
                <w:rFonts w:hint="eastAsia" w:ascii="仿宋" w:hAnsi="仿宋" w:eastAsia="仿宋" w:cs="仿宋"/>
                <w:sz w:val="24"/>
                <w:szCs w:val="24"/>
                <w:highlight w:val="none"/>
                <w:lang w:eastAsia="zh-CN"/>
              </w:rPr>
              <w:t>河南财缘项目管理有限公司</w:t>
            </w:r>
          </w:p>
          <w:p w14:paraId="204CDB57">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地  址：开封市龙亭区集英街 152 号</w:t>
            </w:r>
          </w:p>
          <w:p w14:paraId="5193D5A5">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联系人：王先生 </w:t>
            </w:r>
          </w:p>
          <w:p w14:paraId="17602D24">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联系方式：</w:t>
            </w:r>
            <w:r>
              <w:rPr>
                <w:rFonts w:hint="eastAsia" w:ascii="仿宋" w:hAnsi="仿宋" w:eastAsia="仿宋" w:cs="仿宋"/>
                <w:sz w:val="24"/>
                <w:szCs w:val="24"/>
                <w:highlight w:val="none"/>
                <w:lang w:val="en-US" w:eastAsia="zh-CN"/>
              </w:rPr>
              <w:t>0371-23261888</w:t>
            </w:r>
          </w:p>
        </w:tc>
      </w:tr>
      <w:tr w14:paraId="73EEEF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67E2CEC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2327" w:type="dxa"/>
            <w:tcBorders>
              <w:top w:val="single" w:color="000000" w:sz="2" w:space="0"/>
              <w:left w:val="single" w:color="000000" w:sz="2" w:space="0"/>
              <w:bottom w:val="single" w:color="000000" w:sz="2" w:space="0"/>
              <w:right w:val="single" w:color="000000" w:sz="2" w:space="0"/>
            </w:tcBorders>
            <w:vAlign w:val="center"/>
          </w:tcPr>
          <w:p w14:paraId="45B325FE">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900" w:type="dxa"/>
            <w:tcBorders>
              <w:top w:val="single" w:color="000000" w:sz="2" w:space="0"/>
              <w:left w:val="single" w:color="000000" w:sz="2" w:space="0"/>
              <w:bottom w:val="single" w:color="000000" w:sz="2" w:space="0"/>
              <w:right w:val="single" w:color="000000" w:sz="2" w:space="0"/>
            </w:tcBorders>
            <w:vAlign w:val="center"/>
          </w:tcPr>
          <w:p w14:paraId="7264FE76">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开封市鼓楼区消防救援大队伙食配送定点单位采购项目</w:t>
            </w:r>
          </w:p>
        </w:tc>
      </w:tr>
      <w:tr w14:paraId="456A95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1A1C766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2327" w:type="dxa"/>
            <w:tcBorders>
              <w:top w:val="single" w:color="000000" w:sz="2" w:space="0"/>
              <w:left w:val="single" w:color="000000" w:sz="2" w:space="0"/>
              <w:bottom w:val="single" w:color="000000" w:sz="2" w:space="0"/>
              <w:right w:val="single" w:color="000000" w:sz="2" w:space="0"/>
            </w:tcBorders>
            <w:vAlign w:val="center"/>
          </w:tcPr>
          <w:p w14:paraId="2B33334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服务地点</w:t>
            </w:r>
          </w:p>
        </w:tc>
        <w:tc>
          <w:tcPr>
            <w:tcW w:w="6900" w:type="dxa"/>
            <w:tcBorders>
              <w:top w:val="single" w:color="000000" w:sz="2" w:space="0"/>
              <w:left w:val="single" w:color="000000" w:sz="2" w:space="0"/>
              <w:bottom w:val="single" w:color="000000" w:sz="2" w:space="0"/>
              <w:right w:val="single" w:color="000000" w:sz="2" w:space="0"/>
            </w:tcBorders>
            <w:vAlign w:val="center"/>
          </w:tcPr>
          <w:p w14:paraId="51046465">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rPr>
              <w:t>人指定地点</w:t>
            </w:r>
          </w:p>
        </w:tc>
      </w:tr>
      <w:tr w14:paraId="0809E4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0610C19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2327" w:type="dxa"/>
            <w:tcBorders>
              <w:top w:val="single" w:color="000000" w:sz="2" w:space="0"/>
              <w:left w:val="single" w:color="000000" w:sz="2" w:space="0"/>
              <w:bottom w:val="single" w:color="000000" w:sz="2" w:space="0"/>
              <w:right w:val="single" w:color="000000" w:sz="2" w:space="0"/>
            </w:tcBorders>
            <w:vAlign w:val="center"/>
          </w:tcPr>
          <w:p w14:paraId="07AA644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资金来源</w:t>
            </w:r>
          </w:p>
        </w:tc>
        <w:tc>
          <w:tcPr>
            <w:tcW w:w="6900" w:type="dxa"/>
            <w:tcBorders>
              <w:top w:val="single" w:color="000000" w:sz="2" w:space="0"/>
              <w:left w:val="single" w:color="000000" w:sz="2" w:space="0"/>
              <w:bottom w:val="single" w:color="000000" w:sz="2" w:space="0"/>
              <w:right w:val="single" w:color="000000" w:sz="2" w:space="0"/>
            </w:tcBorders>
            <w:vAlign w:val="center"/>
          </w:tcPr>
          <w:p w14:paraId="20707D98">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中央</w:t>
            </w:r>
            <w:r>
              <w:rPr>
                <w:rFonts w:hint="eastAsia" w:ascii="仿宋" w:hAnsi="仿宋" w:eastAsia="仿宋" w:cs="仿宋"/>
                <w:sz w:val="24"/>
                <w:szCs w:val="24"/>
                <w:highlight w:val="none"/>
              </w:rPr>
              <w:t>+地方财政资金</w:t>
            </w:r>
          </w:p>
        </w:tc>
      </w:tr>
      <w:tr w14:paraId="66714B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68A93CB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2327" w:type="dxa"/>
            <w:tcBorders>
              <w:top w:val="single" w:color="000000" w:sz="2" w:space="0"/>
              <w:left w:val="single" w:color="000000" w:sz="2" w:space="0"/>
              <w:bottom w:val="single" w:color="000000" w:sz="2" w:space="0"/>
              <w:right w:val="single" w:color="000000" w:sz="2" w:space="0"/>
            </w:tcBorders>
            <w:vAlign w:val="center"/>
          </w:tcPr>
          <w:p w14:paraId="1174951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资金落实情况</w:t>
            </w:r>
          </w:p>
        </w:tc>
        <w:tc>
          <w:tcPr>
            <w:tcW w:w="6900" w:type="dxa"/>
            <w:tcBorders>
              <w:top w:val="single" w:color="000000" w:sz="2" w:space="0"/>
              <w:left w:val="single" w:color="000000" w:sz="2" w:space="0"/>
              <w:bottom w:val="single" w:color="000000" w:sz="2" w:space="0"/>
              <w:right w:val="single" w:color="000000" w:sz="2" w:space="0"/>
            </w:tcBorders>
            <w:vAlign w:val="center"/>
          </w:tcPr>
          <w:p w14:paraId="24111C77">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已落实</w:t>
            </w:r>
          </w:p>
        </w:tc>
      </w:tr>
      <w:tr w14:paraId="26B4C6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06F34E1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2327" w:type="dxa"/>
            <w:tcBorders>
              <w:top w:val="single" w:color="000000" w:sz="2" w:space="0"/>
              <w:left w:val="single" w:color="000000" w:sz="2" w:space="0"/>
              <w:bottom w:val="single" w:color="000000" w:sz="2" w:space="0"/>
              <w:right w:val="single" w:color="000000" w:sz="2" w:space="0"/>
            </w:tcBorders>
            <w:vAlign w:val="center"/>
          </w:tcPr>
          <w:p w14:paraId="39E285B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采购内容</w:t>
            </w:r>
          </w:p>
        </w:tc>
        <w:tc>
          <w:tcPr>
            <w:tcW w:w="6900" w:type="dxa"/>
            <w:tcBorders>
              <w:top w:val="single" w:color="000000" w:sz="2" w:space="0"/>
              <w:left w:val="single" w:color="000000" w:sz="2" w:space="0"/>
              <w:bottom w:val="single" w:color="000000" w:sz="2" w:space="0"/>
              <w:right w:val="single" w:color="000000" w:sz="2" w:space="0"/>
            </w:tcBorders>
            <w:vAlign w:val="center"/>
          </w:tcPr>
          <w:p w14:paraId="6379730B">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开封市鼓楼区消防救援大队伙食配送定点单位采购，包含但不仅限于蔬菜水果、粮油、肉蛋禽类、奶类、副食、干调等。</w:t>
            </w:r>
          </w:p>
        </w:tc>
      </w:tr>
      <w:tr w14:paraId="72ADAC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2D03818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w:t>
            </w:r>
          </w:p>
        </w:tc>
        <w:tc>
          <w:tcPr>
            <w:tcW w:w="2327" w:type="dxa"/>
            <w:tcBorders>
              <w:top w:val="single" w:color="000000" w:sz="2" w:space="0"/>
              <w:left w:val="single" w:color="000000" w:sz="2" w:space="0"/>
              <w:bottom w:val="single" w:color="000000" w:sz="2" w:space="0"/>
              <w:right w:val="single" w:color="000000" w:sz="2" w:space="0"/>
            </w:tcBorders>
            <w:vAlign w:val="center"/>
          </w:tcPr>
          <w:p w14:paraId="781888D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服务期限</w:t>
            </w:r>
          </w:p>
        </w:tc>
        <w:tc>
          <w:tcPr>
            <w:tcW w:w="6900" w:type="dxa"/>
            <w:tcBorders>
              <w:top w:val="single" w:color="000000" w:sz="2" w:space="0"/>
              <w:left w:val="single" w:color="000000" w:sz="2" w:space="0"/>
              <w:bottom w:val="single" w:color="000000" w:sz="2" w:space="0"/>
              <w:right w:val="single" w:color="000000" w:sz="2" w:space="0"/>
            </w:tcBorders>
            <w:vAlign w:val="center"/>
          </w:tcPr>
          <w:p w14:paraId="18A28C27">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一年</w:t>
            </w:r>
          </w:p>
        </w:tc>
      </w:tr>
      <w:tr w14:paraId="055B74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60E2795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w:t>
            </w:r>
          </w:p>
        </w:tc>
        <w:tc>
          <w:tcPr>
            <w:tcW w:w="2327" w:type="dxa"/>
            <w:tcBorders>
              <w:top w:val="single" w:color="000000" w:sz="2" w:space="0"/>
              <w:left w:val="single" w:color="000000" w:sz="2" w:space="0"/>
              <w:bottom w:val="single" w:color="000000" w:sz="2" w:space="0"/>
              <w:right w:val="single" w:color="000000" w:sz="2" w:space="0"/>
            </w:tcBorders>
            <w:vAlign w:val="center"/>
          </w:tcPr>
          <w:p w14:paraId="54E8CF1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质量要求</w:t>
            </w:r>
          </w:p>
        </w:tc>
        <w:tc>
          <w:tcPr>
            <w:tcW w:w="6900" w:type="dxa"/>
            <w:tcBorders>
              <w:top w:val="single" w:color="000000" w:sz="2" w:space="0"/>
              <w:left w:val="single" w:color="000000" w:sz="2" w:space="0"/>
              <w:bottom w:val="single" w:color="000000" w:sz="2" w:space="0"/>
              <w:right w:val="single" w:color="000000" w:sz="2" w:space="0"/>
            </w:tcBorders>
            <w:vAlign w:val="center"/>
          </w:tcPr>
          <w:p w14:paraId="754FB637">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合格</w:t>
            </w:r>
          </w:p>
        </w:tc>
      </w:tr>
      <w:tr w14:paraId="22F8C4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12A7D07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10</w:t>
            </w:r>
          </w:p>
        </w:tc>
        <w:tc>
          <w:tcPr>
            <w:tcW w:w="2327" w:type="dxa"/>
            <w:tcBorders>
              <w:top w:val="single" w:color="000000" w:sz="2" w:space="0"/>
              <w:left w:val="single" w:color="000000" w:sz="2" w:space="0"/>
              <w:bottom w:val="single" w:color="000000" w:sz="2" w:space="0"/>
              <w:right w:val="single" w:color="000000" w:sz="2" w:space="0"/>
            </w:tcBorders>
            <w:vAlign w:val="center"/>
          </w:tcPr>
          <w:p w14:paraId="6C871F0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付款方式</w:t>
            </w:r>
          </w:p>
        </w:tc>
        <w:tc>
          <w:tcPr>
            <w:tcW w:w="6900" w:type="dxa"/>
            <w:tcBorders>
              <w:top w:val="single" w:color="000000" w:sz="2" w:space="0"/>
              <w:left w:val="single" w:color="000000" w:sz="2" w:space="0"/>
              <w:bottom w:val="single" w:color="000000" w:sz="2" w:space="0"/>
              <w:right w:val="single" w:color="000000" w:sz="2" w:space="0"/>
            </w:tcBorders>
            <w:vAlign w:val="center"/>
          </w:tcPr>
          <w:p w14:paraId="09181453">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按月结算，具体以</w:t>
            </w:r>
            <w:r>
              <w:rPr>
                <w:rFonts w:hint="eastAsia" w:ascii="仿宋" w:hAnsi="仿宋" w:eastAsia="仿宋" w:cs="仿宋"/>
                <w:sz w:val="24"/>
                <w:szCs w:val="24"/>
                <w:highlight w:val="none"/>
              </w:rPr>
              <w:t>合同约定</w:t>
            </w:r>
            <w:r>
              <w:rPr>
                <w:rFonts w:hint="eastAsia" w:ascii="仿宋" w:hAnsi="仿宋" w:eastAsia="仿宋" w:cs="仿宋"/>
                <w:sz w:val="24"/>
                <w:szCs w:val="24"/>
                <w:highlight w:val="none"/>
                <w:lang w:val="en-US" w:eastAsia="zh-CN"/>
              </w:rPr>
              <w:t>为准</w:t>
            </w:r>
            <w:r>
              <w:rPr>
                <w:rFonts w:hint="eastAsia" w:ascii="仿宋" w:hAnsi="仿宋" w:eastAsia="仿宋" w:cs="仿宋"/>
                <w:sz w:val="24"/>
                <w:szCs w:val="24"/>
                <w:highlight w:val="none"/>
              </w:rPr>
              <w:t>。</w:t>
            </w:r>
          </w:p>
        </w:tc>
      </w:tr>
      <w:tr w14:paraId="063614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3577BD7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11</w:t>
            </w:r>
          </w:p>
        </w:tc>
        <w:tc>
          <w:tcPr>
            <w:tcW w:w="2327" w:type="dxa"/>
            <w:tcBorders>
              <w:top w:val="single" w:color="000000" w:sz="2" w:space="0"/>
              <w:left w:val="single" w:color="000000" w:sz="2" w:space="0"/>
              <w:bottom w:val="single" w:color="000000" w:sz="2" w:space="0"/>
              <w:right w:val="single" w:color="000000" w:sz="2" w:space="0"/>
            </w:tcBorders>
            <w:vAlign w:val="center"/>
          </w:tcPr>
          <w:p w14:paraId="13254FD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投标人资质条件和能力</w:t>
            </w:r>
          </w:p>
        </w:tc>
        <w:tc>
          <w:tcPr>
            <w:tcW w:w="6900" w:type="dxa"/>
            <w:tcBorders>
              <w:top w:val="single" w:color="000000" w:sz="2" w:space="0"/>
              <w:left w:val="single" w:color="000000" w:sz="2" w:space="0"/>
              <w:bottom w:val="single" w:color="000000" w:sz="2" w:space="0"/>
              <w:right w:val="single" w:color="000000" w:sz="2" w:space="0"/>
            </w:tcBorders>
            <w:vAlign w:val="center"/>
          </w:tcPr>
          <w:p w14:paraId="40BE15F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1、满足《中华人民共和国政府采购法》第二十二条规定； </w:t>
            </w:r>
          </w:p>
          <w:p w14:paraId="1E38B6A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2、落实政府采购政策需满足的资格要求：本项目专门面向中小微企业，提供中小企业声明函或残疾人福利性单位声明函或监狱企业证明。</w:t>
            </w:r>
          </w:p>
          <w:p w14:paraId="1B7CD7EF">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3、本项目的特定资格要求 </w:t>
            </w:r>
          </w:p>
          <w:p w14:paraId="2AED362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3.1 具有独立承担民事责任的能力(提供有效的营业执照)；</w:t>
            </w:r>
          </w:p>
          <w:p w14:paraId="315C85E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3.2 具有良好的商业信誉和健全的财务会计制度（须提供企业</w:t>
            </w:r>
            <w:r>
              <w:rPr>
                <w:rFonts w:hint="eastAsia" w:ascii="仿宋" w:hAnsi="仿宋" w:eastAsia="仿宋" w:cs="仿宋"/>
                <w:sz w:val="24"/>
                <w:szCs w:val="24"/>
                <w:highlight w:val="none"/>
                <w:lang w:val="en-US" w:eastAsia="zh-CN"/>
              </w:rPr>
              <w:t>2024</w:t>
            </w:r>
            <w:r>
              <w:rPr>
                <w:rFonts w:hint="eastAsia" w:ascii="仿宋" w:hAnsi="仿宋" w:eastAsia="仿宋" w:cs="仿宋"/>
                <w:sz w:val="24"/>
                <w:szCs w:val="24"/>
                <w:highlight w:val="none"/>
              </w:rPr>
              <w:t>年度经会计师事务所或审计机构审计的财务审计报告；</w:t>
            </w:r>
            <w:r>
              <w:rPr>
                <w:rFonts w:hint="eastAsia" w:ascii="仿宋" w:hAnsi="仿宋" w:eastAsia="仿宋" w:cs="仿宋"/>
                <w:color w:val="auto"/>
                <w:sz w:val="24"/>
                <w:szCs w:val="24"/>
                <w:highlight w:val="none"/>
              </w:rPr>
              <w:t>成立不满一年的公司从成立之日起，按实际情况</w:t>
            </w:r>
            <w:r>
              <w:rPr>
                <w:rFonts w:hint="eastAsia" w:ascii="仿宋" w:hAnsi="仿宋" w:eastAsia="仿宋" w:cs="仿宋"/>
                <w:sz w:val="24"/>
                <w:szCs w:val="24"/>
                <w:highlight w:val="none"/>
              </w:rPr>
              <w:t>提供最新的财务报表或开户行出具的资信证明）；</w:t>
            </w:r>
          </w:p>
          <w:p w14:paraId="59C6DB1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3.3 具有履行合同所必需的设备和专业技术能力（提供承诺书，格式自拟）；</w:t>
            </w:r>
          </w:p>
          <w:p w14:paraId="13FBEC2F">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3.4 有依法缴纳税收和社会保障资金的良好记录（提供202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年1月以来任意1个月依法缴纳税收和社会保障资金的证明材料，依法免税或不需要缴纳社会保障资金的投标人，应提供相应证明文件）；</w:t>
            </w:r>
          </w:p>
          <w:p w14:paraId="4FF92795">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3.5 参加政府采购活动前三年内，在经营活动中没有重大违法记录（提供承诺书，格式自拟）；</w:t>
            </w:r>
          </w:p>
          <w:p w14:paraId="200398F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3.6 法律、行政法规规定的其他条件。</w:t>
            </w:r>
          </w:p>
          <w:p w14:paraId="53E5AB4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3.7 供应商须提供有效食品经营许可证。</w:t>
            </w:r>
          </w:p>
          <w:p w14:paraId="1282C44E">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信誉要求：本项目投标截止日期前对列入失信被执行人、重大税收违法失信主体和政府采购严重违法失信行为记录名单的投标人（处罚期限尚未届满的），拒绝参与本项目政府采购活动；【查询渠道：中国执行信息公开网（http://zxgk.court.gov.cn/shixin/）查询失信被执行人，“信用中国”网站（www.creditchina.gov.cn）查询重大税收违法失信主体，中国政府采购网（www.ccgp.gov.cn）查询政府采购严重违法失信行为记录名单】；提供网页查询截图，查询时间不得早于公告发布日期。</w:t>
            </w:r>
          </w:p>
          <w:p w14:paraId="7B8DAB8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bCs/>
                <w:sz w:val="24"/>
                <w:szCs w:val="24"/>
                <w:highlight w:val="none"/>
              </w:rPr>
              <w:t>单位负责人为同一人或者存在直接控股、管理关系的不同投标人，不得参加同一合同项下的政府采购活动。</w:t>
            </w:r>
            <w:r>
              <w:rPr>
                <w:rFonts w:hint="eastAsia" w:ascii="仿宋" w:hAnsi="仿宋" w:eastAsia="仿宋" w:cs="仿宋"/>
                <w:kern w:val="44"/>
                <w:sz w:val="24"/>
                <w:szCs w:val="24"/>
                <w:highlight w:val="none"/>
              </w:rPr>
              <w:t>提供在“国家企业信用信息公示系统”中查询打印的相关材料并加盖公章（需包含公司基本信息、股东信息及股权变更信息）。</w:t>
            </w:r>
          </w:p>
          <w:p w14:paraId="5E00A38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6、本项目不接受联合体投标。 </w:t>
            </w:r>
          </w:p>
        </w:tc>
      </w:tr>
      <w:tr w14:paraId="4AB36B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48072B84">
            <w:pPr>
              <w:spacing w:line="360" w:lineRule="auto"/>
              <w:jc w:val="center"/>
              <w:rPr>
                <w:rFonts w:hint="eastAsia" w:ascii="仿宋" w:hAnsi="仿宋" w:eastAsia="仿宋" w:cs="仿宋"/>
                <w:sz w:val="24"/>
                <w:szCs w:val="24"/>
                <w:highlight w:val="none"/>
              </w:rPr>
            </w:pPr>
          </w:p>
          <w:p w14:paraId="38F32DE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12</w:t>
            </w:r>
          </w:p>
        </w:tc>
        <w:tc>
          <w:tcPr>
            <w:tcW w:w="2327" w:type="dxa"/>
            <w:tcBorders>
              <w:top w:val="single" w:color="000000" w:sz="2" w:space="0"/>
              <w:left w:val="single" w:color="000000" w:sz="2" w:space="0"/>
              <w:bottom w:val="single" w:color="000000" w:sz="2" w:space="0"/>
              <w:right w:val="single" w:color="000000" w:sz="2" w:space="0"/>
            </w:tcBorders>
            <w:vAlign w:val="center"/>
          </w:tcPr>
          <w:p w14:paraId="7AF15AF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是否接受联合体投标</w:t>
            </w:r>
          </w:p>
        </w:tc>
        <w:tc>
          <w:tcPr>
            <w:tcW w:w="6900" w:type="dxa"/>
            <w:tcBorders>
              <w:top w:val="single" w:color="000000" w:sz="2" w:space="0"/>
              <w:left w:val="single" w:color="000000" w:sz="2" w:space="0"/>
              <w:bottom w:val="single" w:color="000000" w:sz="2" w:space="0"/>
              <w:right w:val="single" w:color="000000" w:sz="2" w:space="0"/>
            </w:tcBorders>
            <w:vAlign w:val="center"/>
          </w:tcPr>
          <w:p w14:paraId="083AF029">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☑不接受</w:t>
            </w:r>
          </w:p>
          <w:p w14:paraId="344A048C">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接受,应满足下列要求 :</w:t>
            </w:r>
          </w:p>
        </w:tc>
      </w:tr>
      <w:tr w14:paraId="43C25E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00B368BB">
            <w:pPr>
              <w:spacing w:line="360" w:lineRule="auto"/>
              <w:jc w:val="center"/>
              <w:rPr>
                <w:rFonts w:hint="eastAsia" w:ascii="仿宋" w:hAnsi="仿宋" w:eastAsia="仿宋" w:cs="仿宋"/>
                <w:sz w:val="24"/>
                <w:szCs w:val="24"/>
                <w:highlight w:val="none"/>
              </w:rPr>
            </w:pPr>
          </w:p>
          <w:p w14:paraId="1F4CC75B">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13</w:t>
            </w:r>
          </w:p>
        </w:tc>
        <w:tc>
          <w:tcPr>
            <w:tcW w:w="2327" w:type="dxa"/>
            <w:tcBorders>
              <w:top w:val="single" w:color="000000" w:sz="2" w:space="0"/>
              <w:left w:val="single" w:color="000000" w:sz="2" w:space="0"/>
              <w:bottom w:val="single" w:color="000000" w:sz="2" w:space="0"/>
              <w:right w:val="single" w:color="000000" w:sz="2" w:space="0"/>
            </w:tcBorders>
            <w:vAlign w:val="center"/>
          </w:tcPr>
          <w:p w14:paraId="0834DF8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构成招标文件的其他材料</w:t>
            </w:r>
          </w:p>
        </w:tc>
        <w:tc>
          <w:tcPr>
            <w:tcW w:w="6900" w:type="dxa"/>
            <w:tcBorders>
              <w:top w:val="single" w:color="000000" w:sz="2" w:space="0"/>
              <w:left w:val="single" w:color="000000" w:sz="2" w:space="0"/>
              <w:bottom w:val="single" w:color="000000" w:sz="2" w:space="0"/>
              <w:right w:val="single" w:color="000000" w:sz="2" w:space="0"/>
            </w:tcBorders>
            <w:vAlign w:val="center"/>
          </w:tcPr>
          <w:p w14:paraId="7B4B7036">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招标文件补充文件、澄清、修改、答疑。</w:t>
            </w:r>
          </w:p>
          <w:p w14:paraId="5CDAAE9A">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当招标文件、补充（答疑）通知文件内容相互矛盾时，以最后发出的文件为准。</w:t>
            </w:r>
          </w:p>
        </w:tc>
      </w:tr>
      <w:tr w14:paraId="4E348A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301CDAF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14</w:t>
            </w:r>
          </w:p>
        </w:tc>
        <w:tc>
          <w:tcPr>
            <w:tcW w:w="2327" w:type="dxa"/>
            <w:tcBorders>
              <w:top w:val="single" w:color="000000" w:sz="2" w:space="0"/>
              <w:left w:val="single" w:color="000000" w:sz="2" w:space="0"/>
              <w:bottom w:val="single" w:color="000000" w:sz="2" w:space="0"/>
              <w:right w:val="single" w:color="000000" w:sz="2" w:space="0"/>
            </w:tcBorders>
            <w:vAlign w:val="center"/>
          </w:tcPr>
          <w:p w14:paraId="0E48D2A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提交首次响应文件截止时间</w:t>
            </w:r>
          </w:p>
        </w:tc>
        <w:tc>
          <w:tcPr>
            <w:tcW w:w="6900" w:type="dxa"/>
            <w:tcBorders>
              <w:top w:val="single" w:color="000000" w:sz="2" w:space="0"/>
              <w:left w:val="single" w:color="000000" w:sz="2" w:space="0"/>
              <w:bottom w:val="single" w:color="000000" w:sz="2" w:space="0"/>
              <w:right w:val="single" w:color="000000" w:sz="2" w:space="0"/>
            </w:tcBorders>
            <w:vAlign w:val="center"/>
          </w:tcPr>
          <w:p w14:paraId="42364FB7">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202</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18</w:t>
            </w:r>
            <w:r>
              <w:rPr>
                <w:rFonts w:hint="eastAsia" w:ascii="仿宋" w:hAnsi="仿宋" w:eastAsia="仿宋" w:cs="仿宋"/>
                <w:sz w:val="24"/>
                <w:szCs w:val="24"/>
                <w:highlight w:val="none"/>
              </w:rPr>
              <w:t>日09时</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分（北京时间）</w:t>
            </w:r>
          </w:p>
        </w:tc>
      </w:tr>
      <w:tr w14:paraId="795237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5093C10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15</w:t>
            </w:r>
          </w:p>
        </w:tc>
        <w:tc>
          <w:tcPr>
            <w:tcW w:w="2327" w:type="dxa"/>
            <w:tcBorders>
              <w:top w:val="single" w:color="000000" w:sz="2" w:space="0"/>
              <w:left w:val="single" w:color="000000" w:sz="2" w:space="0"/>
              <w:bottom w:val="single" w:color="000000" w:sz="2" w:space="0"/>
              <w:right w:val="single" w:color="000000" w:sz="2" w:space="0"/>
            </w:tcBorders>
            <w:vAlign w:val="center"/>
          </w:tcPr>
          <w:p w14:paraId="598E86A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磋商有效期</w:t>
            </w:r>
          </w:p>
        </w:tc>
        <w:tc>
          <w:tcPr>
            <w:tcW w:w="6900" w:type="dxa"/>
            <w:tcBorders>
              <w:top w:val="single" w:color="000000" w:sz="2" w:space="0"/>
              <w:left w:val="single" w:color="000000" w:sz="2" w:space="0"/>
              <w:bottom w:val="single" w:color="000000" w:sz="2" w:space="0"/>
              <w:right w:val="single" w:color="000000" w:sz="2" w:space="0"/>
            </w:tcBorders>
            <w:vAlign w:val="center"/>
          </w:tcPr>
          <w:p w14:paraId="3FA3699C">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磋商截止时间起60日历天</w:t>
            </w:r>
          </w:p>
        </w:tc>
      </w:tr>
      <w:tr w14:paraId="3EF003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763FEB43">
            <w:pPr>
              <w:spacing w:line="360" w:lineRule="auto"/>
              <w:jc w:val="center"/>
              <w:rPr>
                <w:rFonts w:hint="eastAsia" w:ascii="仿宋" w:hAnsi="仿宋" w:eastAsia="仿宋" w:cs="仿宋"/>
                <w:sz w:val="24"/>
                <w:szCs w:val="24"/>
                <w:highlight w:val="none"/>
              </w:rPr>
            </w:pPr>
          </w:p>
          <w:p w14:paraId="3E87D85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16</w:t>
            </w:r>
          </w:p>
        </w:tc>
        <w:tc>
          <w:tcPr>
            <w:tcW w:w="2327" w:type="dxa"/>
            <w:tcBorders>
              <w:top w:val="single" w:color="000000" w:sz="2" w:space="0"/>
              <w:left w:val="single" w:color="000000" w:sz="2" w:space="0"/>
              <w:bottom w:val="single" w:color="000000" w:sz="2" w:space="0"/>
              <w:right w:val="single" w:color="000000" w:sz="2" w:space="0"/>
            </w:tcBorders>
            <w:vAlign w:val="center"/>
          </w:tcPr>
          <w:p w14:paraId="3095A0E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是否允许递交备选投标方案</w:t>
            </w:r>
          </w:p>
        </w:tc>
        <w:tc>
          <w:tcPr>
            <w:tcW w:w="6900" w:type="dxa"/>
            <w:tcBorders>
              <w:top w:val="single" w:color="000000" w:sz="2" w:space="0"/>
              <w:left w:val="single" w:color="000000" w:sz="2" w:space="0"/>
              <w:bottom w:val="single" w:color="000000" w:sz="2" w:space="0"/>
              <w:right w:val="single" w:color="000000" w:sz="2" w:space="0"/>
            </w:tcBorders>
            <w:vAlign w:val="center"/>
          </w:tcPr>
          <w:p w14:paraId="5FD52F78">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0FE9B0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6BF4E71C">
            <w:pPr>
              <w:pStyle w:val="27"/>
              <w:spacing w:before="65" w:line="360" w:lineRule="auto"/>
              <w:jc w:val="center"/>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17</w:t>
            </w:r>
          </w:p>
        </w:tc>
        <w:tc>
          <w:tcPr>
            <w:tcW w:w="2327" w:type="dxa"/>
            <w:tcBorders>
              <w:top w:val="single" w:color="000000" w:sz="2" w:space="0"/>
              <w:left w:val="single" w:color="000000" w:sz="2" w:space="0"/>
              <w:bottom w:val="single" w:color="000000" w:sz="2" w:space="0"/>
              <w:right w:val="single" w:color="000000" w:sz="2" w:space="0"/>
            </w:tcBorders>
            <w:vAlign w:val="center"/>
          </w:tcPr>
          <w:p w14:paraId="00230822">
            <w:pPr>
              <w:pStyle w:val="27"/>
              <w:spacing w:before="65" w:line="360" w:lineRule="auto"/>
              <w:jc w:val="center"/>
              <w:rPr>
                <w:rFonts w:hint="eastAsia" w:ascii="仿宋" w:hAnsi="仿宋" w:eastAsia="仿宋" w:cs="仿宋"/>
                <w:sz w:val="24"/>
                <w:szCs w:val="24"/>
                <w:highlight w:val="none"/>
              </w:rPr>
            </w:pPr>
            <w:r>
              <w:rPr>
                <w:rFonts w:hint="eastAsia" w:ascii="仿宋" w:hAnsi="仿宋" w:eastAsia="仿宋" w:cs="仿宋"/>
                <w:bCs/>
                <w:sz w:val="24"/>
                <w:szCs w:val="24"/>
                <w:highlight w:val="none"/>
              </w:rPr>
              <w:t>响应文件签字或盖章要求</w:t>
            </w:r>
          </w:p>
        </w:tc>
        <w:tc>
          <w:tcPr>
            <w:tcW w:w="6900" w:type="dxa"/>
            <w:tcBorders>
              <w:top w:val="single" w:color="000000" w:sz="2" w:space="0"/>
              <w:left w:val="single" w:color="000000" w:sz="2" w:space="0"/>
              <w:bottom w:val="single" w:color="000000" w:sz="2" w:space="0"/>
              <w:right w:val="single" w:color="000000" w:sz="2" w:space="0"/>
            </w:tcBorders>
            <w:vAlign w:val="center"/>
          </w:tcPr>
          <w:p w14:paraId="2FDDA536">
            <w:pPr>
              <w:pStyle w:val="27"/>
              <w:spacing w:before="113" w:line="360" w:lineRule="auto"/>
              <w:ind w:left="112" w:right="108"/>
              <w:jc w:val="both"/>
              <w:rPr>
                <w:rFonts w:hint="eastAsia" w:ascii="仿宋" w:hAnsi="仿宋" w:eastAsia="仿宋" w:cs="仿宋"/>
                <w:sz w:val="24"/>
                <w:szCs w:val="24"/>
                <w:highlight w:val="none"/>
              </w:rPr>
            </w:pPr>
            <w:r>
              <w:rPr>
                <w:rFonts w:hint="eastAsia" w:ascii="仿宋" w:hAnsi="仿宋" w:eastAsia="仿宋" w:cs="仿宋"/>
                <w:bCs/>
                <w:sz w:val="24"/>
                <w:szCs w:val="24"/>
                <w:highlight w:val="none"/>
              </w:rPr>
              <w:t>按磋商文件要求加盖企业电子签章、个人电子签章。</w:t>
            </w:r>
          </w:p>
        </w:tc>
      </w:tr>
      <w:tr w14:paraId="2555D7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31294BC3">
            <w:pPr>
              <w:pStyle w:val="27"/>
              <w:spacing w:before="65" w:line="360" w:lineRule="auto"/>
              <w:jc w:val="center"/>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18</w:t>
            </w:r>
          </w:p>
        </w:tc>
        <w:tc>
          <w:tcPr>
            <w:tcW w:w="2327" w:type="dxa"/>
            <w:tcBorders>
              <w:top w:val="single" w:color="000000" w:sz="2" w:space="0"/>
              <w:left w:val="single" w:color="000000" w:sz="2" w:space="0"/>
              <w:bottom w:val="single" w:color="000000" w:sz="2" w:space="0"/>
              <w:right w:val="single" w:color="000000" w:sz="2" w:space="0"/>
            </w:tcBorders>
            <w:vAlign w:val="center"/>
          </w:tcPr>
          <w:p w14:paraId="2F7C2E06">
            <w:pPr>
              <w:pStyle w:val="27"/>
              <w:spacing w:before="65"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响应文件送达地点</w:t>
            </w:r>
          </w:p>
        </w:tc>
        <w:tc>
          <w:tcPr>
            <w:tcW w:w="6900" w:type="dxa"/>
            <w:tcBorders>
              <w:top w:val="single" w:color="000000" w:sz="2" w:space="0"/>
              <w:left w:val="single" w:color="000000" w:sz="2" w:space="0"/>
              <w:bottom w:val="single" w:color="000000" w:sz="2" w:space="0"/>
              <w:right w:val="single" w:color="000000" w:sz="2" w:space="0"/>
            </w:tcBorders>
            <w:vAlign w:val="center"/>
          </w:tcPr>
          <w:p w14:paraId="6DC05516">
            <w:pPr>
              <w:pStyle w:val="27"/>
              <w:spacing w:before="112" w:line="360" w:lineRule="auto"/>
              <w:ind w:left="116" w:right="96" w:hanging="4"/>
              <w:jc w:val="both"/>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电子响应文件须在投标截止时间前在开封市公共资源交易中心网站（http://www.kfsggzyjyw.cn） 会员系统中加密上传。</w:t>
            </w:r>
          </w:p>
          <w:p w14:paraId="6B587960">
            <w:pPr>
              <w:pStyle w:val="27"/>
              <w:spacing w:before="112" w:line="360" w:lineRule="auto"/>
              <w:ind w:left="116" w:right="96" w:hanging="4"/>
              <w:jc w:val="both"/>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本项目采用“远程不见面”开标方式，供应商无需到开封市公共资源交易中心现场参加开标会议；供应商应当在开标时间前，登录远程开标大厅，在线准时参加开标活动并进行响应文件解密、答疑澄清等。</w:t>
            </w:r>
          </w:p>
        </w:tc>
      </w:tr>
      <w:tr w14:paraId="100651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0A615671">
            <w:pPr>
              <w:pStyle w:val="27"/>
              <w:spacing w:before="143" w:line="360" w:lineRule="auto"/>
              <w:jc w:val="center"/>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19</w:t>
            </w:r>
          </w:p>
        </w:tc>
        <w:tc>
          <w:tcPr>
            <w:tcW w:w="2327" w:type="dxa"/>
            <w:tcBorders>
              <w:top w:val="single" w:color="000000" w:sz="2" w:space="0"/>
              <w:left w:val="single" w:color="000000" w:sz="2" w:space="0"/>
              <w:bottom w:val="single" w:color="000000" w:sz="2" w:space="0"/>
              <w:right w:val="single" w:color="000000" w:sz="2" w:space="0"/>
            </w:tcBorders>
            <w:vAlign w:val="center"/>
          </w:tcPr>
          <w:p w14:paraId="5DD4F8B5">
            <w:pPr>
              <w:pStyle w:val="27"/>
              <w:spacing w:before="110" w:line="360" w:lineRule="auto"/>
              <w:jc w:val="center"/>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是否退还投标文件</w:t>
            </w:r>
          </w:p>
        </w:tc>
        <w:tc>
          <w:tcPr>
            <w:tcW w:w="6900" w:type="dxa"/>
            <w:tcBorders>
              <w:top w:val="single" w:color="000000" w:sz="2" w:space="0"/>
              <w:left w:val="single" w:color="000000" w:sz="2" w:space="0"/>
              <w:bottom w:val="single" w:color="000000" w:sz="2" w:space="0"/>
              <w:right w:val="single" w:color="000000" w:sz="2" w:space="0"/>
            </w:tcBorders>
            <w:vAlign w:val="center"/>
          </w:tcPr>
          <w:p w14:paraId="5B7A1D86">
            <w:pPr>
              <w:pStyle w:val="27"/>
              <w:spacing w:before="110" w:line="360" w:lineRule="auto"/>
              <w:ind w:left="118"/>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否</w:t>
            </w:r>
          </w:p>
        </w:tc>
      </w:tr>
      <w:tr w14:paraId="3E1F8B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5"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4DF64809">
            <w:pPr>
              <w:pStyle w:val="27"/>
              <w:spacing w:before="143" w:line="360" w:lineRule="auto"/>
              <w:jc w:val="center"/>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20 </w:t>
            </w:r>
          </w:p>
        </w:tc>
        <w:tc>
          <w:tcPr>
            <w:tcW w:w="2327" w:type="dxa"/>
            <w:tcBorders>
              <w:top w:val="single" w:color="000000" w:sz="2" w:space="0"/>
              <w:left w:val="single" w:color="000000" w:sz="2" w:space="0"/>
              <w:bottom w:val="single" w:color="000000" w:sz="2" w:space="0"/>
              <w:right w:val="single" w:color="000000" w:sz="2" w:space="0"/>
            </w:tcBorders>
            <w:vAlign w:val="center"/>
          </w:tcPr>
          <w:p w14:paraId="633D22D7">
            <w:pPr>
              <w:pStyle w:val="27"/>
              <w:spacing w:before="143" w:line="360" w:lineRule="auto"/>
              <w:jc w:val="center"/>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开标时间和地点</w:t>
            </w:r>
          </w:p>
        </w:tc>
        <w:tc>
          <w:tcPr>
            <w:tcW w:w="6900" w:type="dxa"/>
            <w:tcBorders>
              <w:top w:val="single" w:color="000000" w:sz="2" w:space="0"/>
              <w:left w:val="single" w:color="000000" w:sz="2" w:space="0"/>
              <w:bottom w:val="single" w:color="000000" w:sz="2" w:space="0"/>
              <w:right w:val="single" w:color="000000" w:sz="2" w:space="0"/>
            </w:tcBorders>
            <w:vAlign w:val="center"/>
          </w:tcPr>
          <w:p w14:paraId="03D72AD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开标时间：提交首次响应文件截止时间</w:t>
            </w:r>
          </w:p>
          <w:p w14:paraId="6E72C65F">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开标地点: 开封市市民之家五楼开封市公共资源交易中心开标室（远程开标）</w:t>
            </w:r>
          </w:p>
        </w:tc>
      </w:tr>
      <w:tr w14:paraId="1441A6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04DAA83A">
            <w:pPr>
              <w:pStyle w:val="27"/>
              <w:spacing w:before="142" w:line="360" w:lineRule="auto"/>
              <w:ind w:left="434"/>
              <w:jc w:val="center"/>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21</w:t>
            </w:r>
          </w:p>
        </w:tc>
        <w:tc>
          <w:tcPr>
            <w:tcW w:w="2327" w:type="dxa"/>
            <w:tcBorders>
              <w:top w:val="single" w:color="000000" w:sz="2" w:space="0"/>
              <w:left w:val="single" w:color="000000" w:sz="2" w:space="0"/>
              <w:bottom w:val="single" w:color="000000" w:sz="2" w:space="0"/>
              <w:right w:val="single" w:color="000000" w:sz="2" w:space="0"/>
            </w:tcBorders>
            <w:vAlign w:val="center"/>
          </w:tcPr>
          <w:p w14:paraId="17B7A10B">
            <w:pPr>
              <w:pStyle w:val="27"/>
              <w:spacing w:before="109" w:line="360" w:lineRule="auto"/>
              <w:jc w:val="center"/>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开标程序</w:t>
            </w:r>
          </w:p>
        </w:tc>
        <w:tc>
          <w:tcPr>
            <w:tcW w:w="6900" w:type="dxa"/>
            <w:tcBorders>
              <w:top w:val="single" w:color="000000" w:sz="2" w:space="0"/>
              <w:left w:val="single" w:color="000000" w:sz="2" w:space="0"/>
              <w:bottom w:val="single" w:color="000000" w:sz="2" w:space="0"/>
              <w:right w:val="single" w:color="000000" w:sz="2" w:space="0"/>
            </w:tcBorders>
            <w:vAlign w:val="center"/>
          </w:tcPr>
          <w:p w14:paraId="3788FF6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1、本项目采用“远程不见面” 开标方式,投标人无需到开封市公共资源交易中心现场参加开标会议。投标人应当在招标文件确定的投标截止时间前，登录远程开标大厅,在线准时参加开标活动并进行投标文件解密、 答疑澄清等。</w:t>
            </w:r>
          </w:p>
          <w:p w14:paraId="652E9D72">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投标人代表不到开标现场，应在投标文件上传截止时间前使用CA密钥对其电子投标文件完成远程解密，否则，投标人自行承担其投标文件不能开标的责任。（系统解密时长默认为40分钟，错过解密时长者视为自动放弃本次投标。）</w:t>
            </w:r>
          </w:p>
          <w:p w14:paraId="08DA88B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3、因投标人原因造成投标文件未解密的，视为撤销其投标文件。部分投标人的投标文件未解密的，其他投标人的投标文件的开标会议可以继续进行。解密的投标文件不足三家时不再继续进行。</w:t>
            </w:r>
          </w:p>
          <w:p w14:paraId="45AEA00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4、开标程序：</w:t>
            </w:r>
          </w:p>
          <w:p w14:paraId="10D1D68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4.1主持人点击“开标”，解密开始倒计时。</w:t>
            </w:r>
          </w:p>
          <w:p w14:paraId="357A2B2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4.2投标人对所上传加密的投标文件在规定时间内进行解密。</w:t>
            </w:r>
          </w:p>
          <w:p w14:paraId="2C79F105">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4.3解密时间结束后5分钟为质疑时间,投标人可对开标会议提出质疑，无投标人提出质疑视为对开标会议无异议，开标结束。</w:t>
            </w:r>
          </w:p>
        </w:tc>
      </w:tr>
      <w:tr w14:paraId="07DAE4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09FDBD7A">
            <w:pPr>
              <w:pStyle w:val="27"/>
              <w:spacing w:before="65" w:line="360" w:lineRule="auto"/>
              <w:jc w:val="center"/>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22</w:t>
            </w:r>
          </w:p>
        </w:tc>
        <w:tc>
          <w:tcPr>
            <w:tcW w:w="2327" w:type="dxa"/>
            <w:tcBorders>
              <w:top w:val="single" w:color="000000" w:sz="2" w:space="0"/>
              <w:left w:val="single" w:color="000000" w:sz="2" w:space="0"/>
              <w:bottom w:val="single" w:color="000000" w:sz="2" w:space="0"/>
              <w:right w:val="single" w:color="000000" w:sz="2" w:space="0"/>
            </w:tcBorders>
            <w:vAlign w:val="center"/>
          </w:tcPr>
          <w:p w14:paraId="359CC43C">
            <w:pPr>
              <w:pStyle w:val="27"/>
              <w:spacing w:before="65" w:line="360" w:lineRule="auto"/>
              <w:jc w:val="center"/>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磋商小组的组成</w:t>
            </w:r>
          </w:p>
        </w:tc>
        <w:tc>
          <w:tcPr>
            <w:tcW w:w="6900" w:type="dxa"/>
            <w:tcBorders>
              <w:top w:val="single" w:color="000000" w:sz="2" w:space="0"/>
              <w:left w:val="single" w:color="000000" w:sz="2" w:space="0"/>
              <w:bottom w:val="single" w:color="000000" w:sz="2" w:space="0"/>
              <w:right w:val="single" w:color="000000" w:sz="2" w:space="0"/>
            </w:tcBorders>
            <w:vAlign w:val="center"/>
          </w:tcPr>
          <w:p w14:paraId="42E7C1B7">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磋商小组成员人数</w:t>
            </w:r>
            <w:r>
              <w:rPr>
                <w:rFonts w:hint="eastAsia" w:ascii="仿宋" w:hAnsi="仿宋" w:eastAsia="仿宋" w:cs="仿宋"/>
                <w:sz w:val="24"/>
                <w:szCs w:val="24"/>
                <w:highlight w:val="none"/>
                <w:u w:val="none"/>
              </w:rPr>
              <w:t xml:space="preserve"> 3</w:t>
            </w: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sz w:val="24"/>
                <w:szCs w:val="24"/>
                <w:highlight w:val="none"/>
              </w:rPr>
              <w:t>人，其中采购人代表</w:t>
            </w:r>
            <w:r>
              <w:rPr>
                <w:rFonts w:hint="eastAsia" w:ascii="仿宋" w:hAnsi="仿宋" w:eastAsia="仿宋" w:cs="仿宋"/>
                <w:sz w:val="24"/>
                <w:szCs w:val="24"/>
                <w:highlight w:val="none"/>
                <w:u w:val="none"/>
              </w:rPr>
              <w:t xml:space="preserve"> 1 </w:t>
            </w:r>
            <w:r>
              <w:rPr>
                <w:rFonts w:hint="eastAsia" w:ascii="仿宋" w:hAnsi="仿宋" w:eastAsia="仿宋" w:cs="仿宋"/>
                <w:sz w:val="24"/>
                <w:szCs w:val="24"/>
                <w:highlight w:val="none"/>
              </w:rPr>
              <w:t>人，有关经济、技术等方面专家</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u w:val="none"/>
              </w:rPr>
              <w:t>2</w:t>
            </w:r>
            <w:r>
              <w:rPr>
                <w:rFonts w:hint="eastAsia" w:ascii="仿宋" w:hAnsi="仿宋" w:eastAsia="仿宋" w:cs="仿宋"/>
                <w:sz w:val="24"/>
                <w:szCs w:val="24"/>
                <w:highlight w:val="none"/>
                <w:u w:val="none"/>
                <w:lang w:val="en-US" w:eastAsia="zh-CN"/>
              </w:rPr>
              <w:t xml:space="preserve"> </w:t>
            </w:r>
            <w:r>
              <w:rPr>
                <w:rFonts w:hint="eastAsia" w:ascii="仿宋" w:hAnsi="仿宋" w:eastAsia="仿宋" w:cs="仿宋"/>
                <w:sz w:val="24"/>
                <w:szCs w:val="24"/>
                <w:highlight w:val="none"/>
              </w:rPr>
              <w:t>人。</w:t>
            </w:r>
          </w:p>
          <w:p w14:paraId="7719D3EF">
            <w:pPr>
              <w:pStyle w:val="27"/>
              <w:spacing w:before="111" w:line="360" w:lineRule="auto"/>
              <w:ind w:left="111"/>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技术</w:t>
            </w:r>
            <w:r>
              <w:rPr>
                <w:rFonts w:hint="eastAsia" w:ascii="仿宋" w:hAnsi="仿宋" w:eastAsia="仿宋" w:cs="仿宋"/>
                <w:spacing w:val="-2"/>
                <w:sz w:val="24"/>
                <w:szCs w:val="24"/>
                <w:highlight w:val="none"/>
              </w:rPr>
              <w:t>、</w:t>
            </w:r>
            <w:r>
              <w:rPr>
                <w:rFonts w:hint="eastAsia" w:ascii="仿宋" w:hAnsi="仿宋" w:eastAsia="仿宋" w:cs="仿宋"/>
                <w:sz w:val="24"/>
                <w:szCs w:val="24"/>
                <w:highlight w:val="none"/>
              </w:rPr>
              <w:t>经</w:t>
            </w:r>
            <w:r>
              <w:rPr>
                <w:rFonts w:hint="eastAsia" w:ascii="仿宋" w:hAnsi="仿宋" w:eastAsia="仿宋" w:cs="仿宋"/>
                <w:spacing w:val="-2"/>
                <w:sz w:val="24"/>
                <w:szCs w:val="24"/>
                <w:highlight w:val="none"/>
              </w:rPr>
              <w:t>济</w:t>
            </w:r>
            <w:r>
              <w:rPr>
                <w:rFonts w:hint="eastAsia" w:ascii="仿宋" w:hAnsi="仿宋" w:eastAsia="仿宋" w:cs="仿宋"/>
                <w:sz w:val="24"/>
                <w:szCs w:val="24"/>
                <w:highlight w:val="none"/>
              </w:rPr>
              <w:t>等</w:t>
            </w:r>
            <w:r>
              <w:rPr>
                <w:rFonts w:hint="eastAsia" w:ascii="仿宋" w:hAnsi="仿宋" w:eastAsia="仿宋" w:cs="仿宋"/>
                <w:spacing w:val="-2"/>
                <w:sz w:val="24"/>
                <w:szCs w:val="24"/>
                <w:highlight w:val="none"/>
              </w:rPr>
              <w:t>方</w:t>
            </w:r>
            <w:r>
              <w:rPr>
                <w:rFonts w:hint="eastAsia" w:ascii="仿宋" w:hAnsi="仿宋" w:eastAsia="仿宋" w:cs="仿宋"/>
                <w:sz w:val="24"/>
                <w:szCs w:val="24"/>
                <w:highlight w:val="none"/>
              </w:rPr>
              <w:t>面</w:t>
            </w:r>
            <w:r>
              <w:rPr>
                <w:rFonts w:hint="eastAsia" w:ascii="仿宋" w:hAnsi="仿宋" w:eastAsia="仿宋" w:cs="仿宋"/>
                <w:spacing w:val="-2"/>
                <w:sz w:val="24"/>
                <w:szCs w:val="24"/>
                <w:highlight w:val="none"/>
              </w:rPr>
              <w:t>专</w:t>
            </w:r>
            <w:r>
              <w:rPr>
                <w:rFonts w:hint="eastAsia" w:ascii="仿宋" w:hAnsi="仿宋" w:eastAsia="仿宋" w:cs="仿宋"/>
                <w:sz w:val="24"/>
                <w:szCs w:val="24"/>
                <w:highlight w:val="none"/>
              </w:rPr>
              <w:t>家</w:t>
            </w:r>
            <w:r>
              <w:rPr>
                <w:rFonts w:hint="eastAsia" w:ascii="仿宋" w:hAnsi="仿宋" w:eastAsia="仿宋" w:cs="仿宋"/>
                <w:spacing w:val="-2"/>
                <w:sz w:val="24"/>
                <w:szCs w:val="24"/>
                <w:highlight w:val="none"/>
              </w:rPr>
              <w:t>的</w:t>
            </w:r>
            <w:r>
              <w:rPr>
                <w:rFonts w:hint="eastAsia" w:ascii="仿宋" w:hAnsi="仿宋" w:eastAsia="仿宋" w:cs="仿宋"/>
                <w:sz w:val="24"/>
                <w:szCs w:val="24"/>
                <w:highlight w:val="none"/>
              </w:rPr>
              <w:t>确定</w:t>
            </w:r>
            <w:r>
              <w:rPr>
                <w:rFonts w:hint="eastAsia" w:ascii="仿宋" w:hAnsi="仿宋" w:eastAsia="仿宋" w:cs="仿宋"/>
                <w:spacing w:val="-2"/>
                <w:sz w:val="24"/>
                <w:szCs w:val="24"/>
                <w:highlight w:val="none"/>
              </w:rPr>
              <w:t>方</w:t>
            </w:r>
            <w:r>
              <w:rPr>
                <w:rFonts w:hint="eastAsia" w:ascii="仿宋" w:hAnsi="仿宋" w:eastAsia="仿宋" w:cs="仿宋"/>
                <w:sz w:val="24"/>
                <w:szCs w:val="24"/>
                <w:highlight w:val="none"/>
              </w:rPr>
              <w:t>式：从省级相关</w:t>
            </w:r>
            <w:r>
              <w:rPr>
                <w:rFonts w:hint="eastAsia" w:ascii="仿宋" w:hAnsi="仿宋" w:eastAsia="仿宋" w:cs="仿宋"/>
                <w:sz w:val="24"/>
                <w:szCs w:val="24"/>
                <w:highlight w:val="none"/>
                <w:lang w:val="en-US" w:eastAsia="zh-CN"/>
              </w:rPr>
              <w:t>评标</w:t>
            </w:r>
            <w:r>
              <w:rPr>
                <w:rFonts w:hint="eastAsia" w:ascii="仿宋" w:hAnsi="仿宋" w:eastAsia="仿宋" w:cs="仿宋"/>
                <w:sz w:val="24"/>
                <w:szCs w:val="24"/>
                <w:highlight w:val="none"/>
              </w:rPr>
              <w:t>专家库中随机抽取。</w:t>
            </w:r>
          </w:p>
        </w:tc>
      </w:tr>
      <w:tr w14:paraId="7CF2FF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7BE9B4C4">
            <w:pPr>
              <w:pStyle w:val="27"/>
              <w:spacing w:before="65" w:line="360" w:lineRule="auto"/>
              <w:jc w:val="center"/>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23</w:t>
            </w:r>
          </w:p>
        </w:tc>
        <w:tc>
          <w:tcPr>
            <w:tcW w:w="2327" w:type="dxa"/>
            <w:tcBorders>
              <w:top w:val="single" w:color="000000" w:sz="2" w:space="0"/>
              <w:left w:val="single" w:color="000000" w:sz="2" w:space="0"/>
              <w:bottom w:val="single" w:color="000000" w:sz="2" w:space="0"/>
              <w:right w:val="single" w:color="000000" w:sz="2" w:space="0"/>
            </w:tcBorders>
            <w:vAlign w:val="center"/>
          </w:tcPr>
          <w:p w14:paraId="3F68882D">
            <w:pPr>
              <w:pStyle w:val="27"/>
              <w:spacing w:before="110" w:line="360" w:lineRule="auto"/>
              <w:ind w:right="17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是否授权磋商小组确定成交人</w:t>
            </w:r>
          </w:p>
        </w:tc>
        <w:tc>
          <w:tcPr>
            <w:tcW w:w="6900" w:type="dxa"/>
            <w:tcBorders>
              <w:top w:val="single" w:color="000000" w:sz="2" w:space="0"/>
              <w:left w:val="single" w:color="000000" w:sz="2" w:space="0"/>
              <w:bottom w:val="single" w:color="000000" w:sz="2" w:space="0"/>
              <w:right w:val="single" w:color="000000" w:sz="2" w:space="0"/>
            </w:tcBorders>
            <w:vAlign w:val="center"/>
          </w:tcPr>
          <w:p w14:paraId="49CD24CA">
            <w:pPr>
              <w:pStyle w:val="27"/>
              <w:spacing w:before="105"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是否授权磋商小组直接确定成交人：否 </w:t>
            </w:r>
          </w:p>
          <w:p w14:paraId="21EDE2E6">
            <w:pPr>
              <w:pStyle w:val="27"/>
              <w:spacing w:before="105"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推荐成交候选供应商3名并标明排列顺序。</w:t>
            </w:r>
          </w:p>
        </w:tc>
      </w:tr>
      <w:tr w14:paraId="2BF621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094719AB">
            <w:pPr>
              <w:pStyle w:val="27"/>
              <w:spacing w:before="65" w:line="360" w:lineRule="auto"/>
              <w:jc w:val="center"/>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24</w:t>
            </w:r>
          </w:p>
        </w:tc>
        <w:tc>
          <w:tcPr>
            <w:tcW w:w="2327" w:type="dxa"/>
            <w:tcBorders>
              <w:top w:val="single" w:color="000000" w:sz="2" w:space="0"/>
              <w:left w:val="single" w:color="000000" w:sz="2" w:space="0"/>
              <w:bottom w:val="single" w:color="000000" w:sz="2" w:space="0"/>
              <w:right w:val="single" w:color="000000" w:sz="2" w:space="0"/>
            </w:tcBorders>
            <w:vAlign w:val="center"/>
          </w:tcPr>
          <w:p w14:paraId="223C7FD3">
            <w:pPr>
              <w:pStyle w:val="27"/>
              <w:spacing w:before="61" w:line="360" w:lineRule="auto"/>
              <w:jc w:val="both"/>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递交投标文件地点及方式</w:t>
            </w:r>
          </w:p>
        </w:tc>
        <w:tc>
          <w:tcPr>
            <w:tcW w:w="6900" w:type="dxa"/>
            <w:tcBorders>
              <w:top w:val="single" w:color="000000" w:sz="2" w:space="0"/>
              <w:left w:val="single" w:color="000000" w:sz="2" w:space="0"/>
              <w:bottom w:val="single" w:color="000000" w:sz="2" w:space="0"/>
              <w:right w:val="single" w:color="000000" w:sz="2" w:space="0"/>
            </w:tcBorders>
            <w:vAlign w:val="center"/>
          </w:tcPr>
          <w:p w14:paraId="452FA822">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（1）电子投标文件的递交</w:t>
            </w:r>
          </w:p>
          <w:p w14:paraId="2DD39DF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a、各投标人应在投标截止时间前上传加密的电子投标文件到会员系统的指定位置。请投标人在上传时认真检查上传响应文件是否完整、正确。</w:t>
            </w:r>
          </w:p>
          <w:p w14:paraId="516C47D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b、投标人因交易中心系统问题无法上传电子投标文件时，请在工作时间与开封市公共资源交易中心交易平台运维电话联系，联系电话：0371-23859291</w:t>
            </w:r>
          </w:p>
          <w:p w14:paraId="5FDEC4D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地址：郑开大道三大街市民之家5楼开封市公共资源交易中心开标室</w:t>
            </w:r>
          </w:p>
        </w:tc>
      </w:tr>
      <w:tr w14:paraId="5FD6C4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4C97FF7E">
            <w:pPr>
              <w:pStyle w:val="27"/>
              <w:spacing w:before="65" w:line="360" w:lineRule="auto"/>
              <w:jc w:val="center"/>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25</w:t>
            </w:r>
          </w:p>
        </w:tc>
        <w:tc>
          <w:tcPr>
            <w:tcW w:w="2327" w:type="dxa"/>
            <w:tcBorders>
              <w:top w:val="single" w:color="000000" w:sz="2" w:space="0"/>
              <w:left w:val="single" w:color="000000" w:sz="2" w:space="0"/>
              <w:bottom w:val="single" w:color="000000" w:sz="2" w:space="0"/>
              <w:right w:val="single" w:color="000000" w:sz="2" w:space="0"/>
            </w:tcBorders>
            <w:vAlign w:val="center"/>
          </w:tcPr>
          <w:p w14:paraId="62AE801B">
            <w:pPr>
              <w:pStyle w:val="27"/>
              <w:spacing w:before="65" w:line="360" w:lineRule="auto"/>
              <w:jc w:val="center"/>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招标控制价</w:t>
            </w:r>
          </w:p>
        </w:tc>
        <w:tc>
          <w:tcPr>
            <w:tcW w:w="6900" w:type="dxa"/>
            <w:tcBorders>
              <w:top w:val="single" w:color="000000" w:sz="2" w:space="0"/>
              <w:left w:val="single" w:color="000000" w:sz="2" w:space="0"/>
              <w:bottom w:val="single" w:color="000000" w:sz="2" w:space="0"/>
              <w:right w:val="single" w:color="000000" w:sz="2" w:space="0"/>
            </w:tcBorders>
            <w:vAlign w:val="center"/>
          </w:tcPr>
          <w:p w14:paraId="64A442F7">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磋商报价费率不得高于100%（100%是指当地大型超市（如大润发、永辉超市等） 同期同类产品零售最低价为对比依据（不以特价商品做参照））</w:t>
            </w:r>
          </w:p>
          <w:p w14:paraId="129AFB12">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注：1、供应商磋商报价不得高于100%，否则按废标处理。</w:t>
            </w:r>
          </w:p>
          <w:p w14:paraId="1FB6A171">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2、结算方式： 以实际供货量进行结算。</w:t>
            </w:r>
          </w:p>
        </w:tc>
      </w:tr>
      <w:tr w14:paraId="5224EA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0CC19E42">
            <w:pPr>
              <w:pStyle w:val="27"/>
              <w:spacing w:before="65" w:line="360" w:lineRule="auto"/>
              <w:jc w:val="center"/>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26</w:t>
            </w:r>
          </w:p>
        </w:tc>
        <w:tc>
          <w:tcPr>
            <w:tcW w:w="2327" w:type="dxa"/>
            <w:tcBorders>
              <w:top w:val="single" w:color="000000" w:sz="2" w:space="0"/>
              <w:left w:val="single" w:color="000000" w:sz="2" w:space="0"/>
              <w:bottom w:val="single" w:color="000000" w:sz="2" w:space="0"/>
              <w:right w:val="single" w:color="000000" w:sz="2" w:space="0"/>
            </w:tcBorders>
            <w:vAlign w:val="center"/>
          </w:tcPr>
          <w:p w14:paraId="3BA68194">
            <w:pPr>
              <w:pStyle w:val="27"/>
              <w:spacing w:before="65" w:line="360" w:lineRule="auto"/>
              <w:jc w:val="center"/>
              <w:rPr>
                <w:rFonts w:hint="eastAsia" w:ascii="仿宋" w:hAnsi="仿宋" w:eastAsia="仿宋" w:cs="仿宋"/>
                <w:spacing w:val="7"/>
                <w:sz w:val="24"/>
                <w:szCs w:val="24"/>
                <w:highlight w:val="none"/>
              </w:rPr>
            </w:pPr>
            <w:r>
              <w:rPr>
                <w:rFonts w:hint="eastAsia" w:ascii="仿宋" w:hAnsi="仿宋" w:eastAsia="仿宋" w:cs="仿宋"/>
                <w:spacing w:val="7"/>
                <w:sz w:val="24"/>
                <w:szCs w:val="24"/>
                <w:highlight w:val="none"/>
              </w:rPr>
              <w:t>磋商报价</w:t>
            </w:r>
          </w:p>
        </w:tc>
        <w:tc>
          <w:tcPr>
            <w:tcW w:w="6900" w:type="dxa"/>
            <w:tcBorders>
              <w:top w:val="single" w:color="000000" w:sz="2" w:space="0"/>
              <w:left w:val="single" w:color="000000" w:sz="2" w:space="0"/>
              <w:bottom w:val="single" w:color="000000" w:sz="2" w:space="0"/>
              <w:right w:val="single" w:color="000000" w:sz="2" w:space="0"/>
            </w:tcBorders>
            <w:vAlign w:val="center"/>
          </w:tcPr>
          <w:p w14:paraId="3BE9BE88">
            <w:pPr>
              <w:pStyle w:val="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二轮报价（首轮报价（响应文件中的报价）、最终报价）。供应商的最后报价不得高于首次磋商报价。不提供最后报价的供应商将视为默认首次磋商报价。</w:t>
            </w:r>
          </w:p>
          <w:p w14:paraId="588EAA50">
            <w:pPr>
              <w:pStyle w:val="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注：最终报价为通过资格和符合性评审的供应商在评标过程中所报价格。</w:t>
            </w:r>
          </w:p>
          <w:p w14:paraId="78BB1306">
            <w:pPr>
              <w:pStyle w:val="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磋商报价包括本次采购范围内的所有费用，超出项目采购控制价的按无效标处理。</w:t>
            </w:r>
          </w:p>
          <w:p w14:paraId="23B21FC3">
            <w:pPr>
              <w:pStyle w:val="7"/>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注：供应商解密响应文件后应时刻关注网上招投标系统，磋商小组在初步评审结束后会通过系统通知通过初步评审的所有供应商进行最终报价，最终报价时间为30分钟，未在规定时间进行最终报价的供应商视为废标。</w:t>
            </w:r>
          </w:p>
        </w:tc>
      </w:tr>
      <w:tr w14:paraId="4D0601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8"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5D11C4A4">
            <w:pPr>
              <w:pStyle w:val="27"/>
              <w:spacing w:before="255" w:line="360" w:lineRule="auto"/>
              <w:jc w:val="center"/>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27</w:t>
            </w:r>
          </w:p>
        </w:tc>
        <w:tc>
          <w:tcPr>
            <w:tcW w:w="2327" w:type="dxa"/>
            <w:tcBorders>
              <w:top w:val="single" w:color="000000" w:sz="2" w:space="0"/>
              <w:left w:val="single" w:color="000000" w:sz="2" w:space="0"/>
              <w:bottom w:val="single" w:color="000000" w:sz="2" w:space="0"/>
              <w:right w:val="single" w:color="000000" w:sz="2" w:space="0"/>
            </w:tcBorders>
            <w:vAlign w:val="center"/>
          </w:tcPr>
          <w:p w14:paraId="29F10380">
            <w:pPr>
              <w:pStyle w:val="27"/>
              <w:spacing w:before="222" w:line="360" w:lineRule="auto"/>
              <w:jc w:val="center"/>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招标代理费</w:t>
            </w:r>
          </w:p>
        </w:tc>
        <w:tc>
          <w:tcPr>
            <w:tcW w:w="6900" w:type="dxa"/>
            <w:tcBorders>
              <w:top w:val="single" w:color="000000" w:sz="2" w:space="0"/>
              <w:left w:val="single" w:color="000000" w:sz="2" w:space="0"/>
              <w:bottom w:val="single" w:color="000000" w:sz="2" w:space="0"/>
              <w:right w:val="single" w:color="000000" w:sz="2" w:space="0"/>
            </w:tcBorders>
            <w:vAlign w:val="center"/>
          </w:tcPr>
          <w:p w14:paraId="28A23E53">
            <w:pPr>
              <w:pStyle w:val="27"/>
              <w:spacing w:before="222"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以预算金额为基数，参照（豫招协[2023]002号文）《河南省招标代理服务收费指导意见》规定的标准收取（不含税金）。由中标人领取中标通知书时进行支付。</w:t>
            </w:r>
          </w:p>
          <w:p w14:paraId="2D24A8F9">
            <w:pPr>
              <w:pStyle w:val="27"/>
              <w:spacing w:before="222"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drawing>
                <wp:inline distT="0" distB="0" distL="0" distR="0">
                  <wp:extent cx="4086225" cy="2543175"/>
                  <wp:effectExtent l="0" t="0" r="9525" b="9525"/>
                  <wp:docPr id="4" name="图片 4" descr="C:\Users\ADMINI~1\AppData\Local\Temp\ksohtml10728\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1\AppData\Local\Temp\ksohtml10728\wps6.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4086225" cy="2543175"/>
                          </a:xfrm>
                          <a:prstGeom prst="rect">
                            <a:avLst/>
                          </a:prstGeom>
                          <a:noFill/>
                          <a:ln>
                            <a:noFill/>
                          </a:ln>
                        </pic:spPr>
                      </pic:pic>
                    </a:graphicData>
                  </a:graphic>
                </wp:inline>
              </w:drawing>
            </w:r>
          </w:p>
        </w:tc>
      </w:tr>
      <w:tr w14:paraId="47947C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9"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11153FA3">
            <w:pPr>
              <w:pStyle w:val="27"/>
              <w:spacing w:before="65" w:line="360" w:lineRule="auto"/>
              <w:jc w:val="center"/>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28</w:t>
            </w:r>
          </w:p>
        </w:tc>
        <w:tc>
          <w:tcPr>
            <w:tcW w:w="2327" w:type="dxa"/>
            <w:tcBorders>
              <w:top w:val="single" w:color="000000" w:sz="2" w:space="0"/>
              <w:left w:val="single" w:color="000000" w:sz="2" w:space="0"/>
              <w:bottom w:val="single" w:color="000000" w:sz="2" w:space="0"/>
              <w:right w:val="single" w:color="000000" w:sz="2" w:space="0"/>
            </w:tcBorders>
            <w:vAlign w:val="center"/>
          </w:tcPr>
          <w:p w14:paraId="614B869D">
            <w:pPr>
              <w:pStyle w:val="27"/>
              <w:spacing w:before="65" w:line="360" w:lineRule="auto"/>
              <w:jc w:val="center"/>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监督</w:t>
            </w:r>
          </w:p>
        </w:tc>
        <w:tc>
          <w:tcPr>
            <w:tcW w:w="6900" w:type="dxa"/>
            <w:tcBorders>
              <w:top w:val="single" w:color="000000" w:sz="2" w:space="0"/>
              <w:left w:val="single" w:color="000000" w:sz="2" w:space="0"/>
              <w:bottom w:val="single" w:color="000000" w:sz="2" w:space="0"/>
              <w:right w:val="single" w:color="000000" w:sz="2" w:space="0"/>
            </w:tcBorders>
            <w:vAlign w:val="center"/>
          </w:tcPr>
          <w:p w14:paraId="00473E17">
            <w:pPr>
              <w:pStyle w:val="27"/>
              <w:spacing w:before="113" w:line="360" w:lineRule="auto"/>
              <w:ind w:left="112" w:right="108"/>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监督部门：开封市鼓楼区财政局政府采购办公室</w:t>
            </w:r>
          </w:p>
          <w:p w14:paraId="47B39696">
            <w:pPr>
              <w:pStyle w:val="27"/>
              <w:spacing w:before="113" w:line="360" w:lineRule="auto"/>
              <w:ind w:left="112" w:right="108"/>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联系电话：0371-27889359</w:t>
            </w:r>
          </w:p>
        </w:tc>
      </w:tr>
      <w:tr w14:paraId="0751BC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295DB6EA">
            <w:pPr>
              <w:pStyle w:val="27"/>
              <w:spacing w:before="65" w:line="360" w:lineRule="auto"/>
              <w:jc w:val="center"/>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29</w:t>
            </w:r>
          </w:p>
        </w:tc>
        <w:tc>
          <w:tcPr>
            <w:tcW w:w="9227" w:type="dxa"/>
            <w:gridSpan w:val="2"/>
            <w:tcBorders>
              <w:top w:val="single" w:color="000000" w:sz="2" w:space="0"/>
              <w:left w:val="single" w:color="000000" w:sz="2" w:space="0"/>
              <w:bottom w:val="single" w:color="000000" w:sz="2" w:space="0"/>
              <w:right w:val="single" w:color="000000" w:sz="2" w:space="0"/>
            </w:tcBorders>
            <w:vAlign w:val="center"/>
          </w:tcPr>
          <w:p w14:paraId="73D0C2ED">
            <w:pPr>
              <w:pStyle w:val="27"/>
              <w:spacing w:before="113" w:line="360" w:lineRule="auto"/>
              <w:ind w:left="112" w:right="108"/>
              <w:jc w:val="both"/>
              <w:rPr>
                <w:rFonts w:hint="eastAsia" w:ascii="仿宋" w:hAnsi="仿宋" w:eastAsia="仿宋" w:cs="仿宋"/>
                <w:spacing w:val="8"/>
                <w:sz w:val="24"/>
                <w:szCs w:val="24"/>
                <w:highlight w:val="none"/>
              </w:rPr>
            </w:pPr>
            <w:r>
              <w:rPr>
                <w:rFonts w:hint="eastAsia" w:ascii="仿宋" w:hAnsi="仿宋" w:eastAsia="仿宋" w:cs="仿宋"/>
                <w:sz w:val="24"/>
                <w:szCs w:val="24"/>
                <w:highlight w:val="none"/>
              </w:rPr>
              <w:t>供应商（供应商）向采购人、招标代理机构提出质疑（异议）的方式为通过登录开封市公共资源交易系统线上提起（网址：http://www.kfsggzyjyw.cn/kfggzy/）按要求填写质疑（异议）、投诉信息并上传相关材料。招标代理机构或采购人在规定时间内进行回复，各供应商应时刻关注电子交易系统中的项目进度和状态。</w:t>
            </w:r>
          </w:p>
        </w:tc>
      </w:tr>
      <w:tr w14:paraId="5D2010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52A67F23">
            <w:pPr>
              <w:pStyle w:val="27"/>
              <w:spacing w:before="65" w:line="360" w:lineRule="auto"/>
              <w:jc w:val="center"/>
              <w:rPr>
                <w:rFonts w:hint="eastAsia" w:ascii="仿宋" w:hAnsi="仿宋" w:eastAsia="仿宋" w:cs="仿宋"/>
                <w:spacing w:val="-1"/>
                <w:sz w:val="24"/>
                <w:szCs w:val="24"/>
                <w:highlight w:val="none"/>
              </w:rPr>
            </w:pPr>
            <w:r>
              <w:rPr>
                <w:rFonts w:hint="eastAsia" w:ascii="仿宋" w:hAnsi="仿宋" w:eastAsia="仿宋" w:cs="仿宋"/>
                <w:spacing w:val="-2"/>
                <w:sz w:val="24"/>
                <w:szCs w:val="24"/>
                <w:highlight w:val="none"/>
              </w:rPr>
              <w:t>30</w:t>
            </w:r>
          </w:p>
        </w:tc>
        <w:tc>
          <w:tcPr>
            <w:tcW w:w="9227" w:type="dxa"/>
            <w:gridSpan w:val="2"/>
            <w:tcBorders>
              <w:top w:val="single" w:color="000000" w:sz="2" w:space="0"/>
              <w:left w:val="single" w:color="000000" w:sz="2" w:space="0"/>
              <w:bottom w:val="single" w:color="000000" w:sz="2" w:space="0"/>
              <w:right w:val="single" w:color="000000" w:sz="2" w:space="0"/>
            </w:tcBorders>
            <w:vAlign w:val="center"/>
          </w:tcPr>
          <w:p w14:paraId="4893AFF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1、投标人必须承诺独立制作、修改和上传投标文件，因“硬件特征码一致”所造成的不良后果由投标人自行承担。</w:t>
            </w:r>
          </w:p>
          <w:p w14:paraId="1F6FC642">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2、招标文件规定其他内容涉及的“相关原件”不再要求投标人单独递交，投标人需根据招标文件及投标文件格式要求将原件扫描件附在投标文件中即可，其内容清晰可辨，如因此造成的后果由投标人自行承担。</w:t>
            </w:r>
          </w:p>
          <w:p w14:paraId="72EE17A8">
            <w:pPr>
              <w:spacing w:line="360" w:lineRule="auto"/>
              <w:rPr>
                <w:rFonts w:hint="eastAsia" w:ascii="仿宋" w:hAnsi="仿宋" w:eastAsia="仿宋" w:cs="仿宋"/>
                <w:spacing w:val="8"/>
                <w:sz w:val="24"/>
                <w:szCs w:val="24"/>
                <w:highlight w:val="none"/>
              </w:rPr>
            </w:pPr>
            <w:r>
              <w:rPr>
                <w:rFonts w:hint="eastAsia" w:ascii="仿宋" w:hAnsi="仿宋" w:eastAsia="仿宋" w:cs="仿宋"/>
                <w:sz w:val="24"/>
                <w:szCs w:val="24"/>
                <w:highlight w:val="none"/>
              </w:rPr>
              <w:t>3、各投标（响应）人从参与项目交易开始至项目交易活动结束止，应时刻关注电子交易系统中的项目进度和状态，特别是项目评审期间。由于自身原因错过变更通知、文件澄清、报价响应（自系统发起30分钟内做出）等重要信息的，后果由投标（响应）人自行承担。</w:t>
            </w:r>
          </w:p>
        </w:tc>
      </w:tr>
      <w:tr w14:paraId="3DDED4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46FAF9F9">
            <w:pPr>
              <w:pStyle w:val="27"/>
              <w:spacing w:before="113" w:line="360" w:lineRule="auto"/>
              <w:ind w:left="112" w:right="108"/>
              <w:jc w:val="both"/>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31</w:t>
            </w:r>
          </w:p>
        </w:tc>
        <w:tc>
          <w:tcPr>
            <w:tcW w:w="9227" w:type="dxa"/>
            <w:gridSpan w:val="2"/>
            <w:tcBorders>
              <w:top w:val="single" w:color="000000" w:sz="2" w:space="0"/>
              <w:left w:val="single" w:color="000000" w:sz="2" w:space="0"/>
              <w:bottom w:val="single" w:color="000000" w:sz="2" w:space="0"/>
              <w:right w:val="single" w:color="000000" w:sz="2" w:space="0"/>
            </w:tcBorders>
            <w:vAlign w:val="center"/>
          </w:tcPr>
          <w:p w14:paraId="3FDF1D85">
            <w:pPr>
              <w:spacing w:line="360" w:lineRule="auto"/>
              <w:rPr>
                <w:rFonts w:hint="eastAsia" w:ascii="仿宋" w:hAnsi="仿宋" w:eastAsia="仿宋" w:cs="仿宋"/>
                <w:spacing w:val="8"/>
                <w:sz w:val="24"/>
                <w:szCs w:val="24"/>
                <w:highlight w:val="none"/>
              </w:rPr>
            </w:pPr>
            <w:r>
              <w:rPr>
                <w:rFonts w:hint="eastAsia" w:ascii="仿宋" w:hAnsi="仿宋" w:eastAsia="仿宋" w:cs="仿宋"/>
                <w:bCs/>
                <w:sz w:val="24"/>
                <w:szCs w:val="24"/>
                <w:highlight w:val="none"/>
              </w:rPr>
              <w:t>磋商文件内容前后不一致的以供应商须知前附表为准，供应商须知前附表没有的以最后内容为准。</w:t>
            </w:r>
          </w:p>
        </w:tc>
      </w:tr>
      <w:tr w14:paraId="229B02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096B93C1">
            <w:pPr>
              <w:pStyle w:val="27"/>
              <w:spacing w:before="113" w:line="360" w:lineRule="auto"/>
              <w:ind w:left="112" w:right="108"/>
              <w:jc w:val="both"/>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32</w:t>
            </w:r>
          </w:p>
        </w:tc>
        <w:tc>
          <w:tcPr>
            <w:tcW w:w="9227" w:type="dxa"/>
            <w:gridSpan w:val="2"/>
            <w:tcBorders>
              <w:top w:val="single" w:color="000000" w:sz="2" w:space="0"/>
              <w:left w:val="single" w:color="000000" w:sz="2" w:space="0"/>
              <w:bottom w:val="single" w:color="000000" w:sz="2" w:space="0"/>
              <w:right w:val="single" w:color="000000" w:sz="2" w:space="0"/>
            </w:tcBorders>
            <w:vAlign w:val="center"/>
          </w:tcPr>
          <w:p w14:paraId="38A7E17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落实的政府采购政策</w:t>
            </w:r>
          </w:p>
          <w:p w14:paraId="3B3E496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支持中小企业及监狱企业发展</w:t>
            </w:r>
          </w:p>
          <w:p w14:paraId="22A39873">
            <w:pPr>
              <w:spacing w:line="360" w:lineRule="auto"/>
              <w:rPr>
                <w:rFonts w:hint="eastAsia" w:ascii="仿宋" w:hAnsi="仿宋" w:eastAsia="仿宋" w:cs="仿宋"/>
                <w:spacing w:val="9"/>
                <w:sz w:val="24"/>
                <w:szCs w:val="24"/>
                <w:highlight w:val="none"/>
              </w:rPr>
            </w:pPr>
            <w:r>
              <w:rPr>
                <w:rFonts w:hint="eastAsia" w:ascii="仿宋" w:hAnsi="仿宋" w:eastAsia="仿宋" w:cs="仿宋"/>
                <w:spacing w:val="9"/>
                <w:sz w:val="24"/>
                <w:szCs w:val="24"/>
                <w:highlight w:val="none"/>
              </w:rPr>
              <w:t>1.若供应商属于中\小\微型企业，必须出具中小企业声明函，否则不予认可。</w:t>
            </w:r>
          </w:p>
          <w:p w14:paraId="5E3FF463">
            <w:pPr>
              <w:spacing w:line="360" w:lineRule="auto"/>
              <w:rPr>
                <w:rFonts w:hint="eastAsia" w:ascii="仿宋" w:hAnsi="仿宋" w:eastAsia="仿宋" w:cs="仿宋"/>
                <w:spacing w:val="9"/>
                <w:sz w:val="24"/>
                <w:szCs w:val="24"/>
                <w:highlight w:val="none"/>
              </w:rPr>
            </w:pPr>
            <w:r>
              <w:rPr>
                <w:rFonts w:hint="eastAsia" w:ascii="仿宋" w:hAnsi="仿宋" w:eastAsia="仿宋" w:cs="仿宋"/>
                <w:spacing w:val="9"/>
                <w:sz w:val="24"/>
                <w:szCs w:val="24"/>
                <w:highlight w:val="none"/>
              </w:rPr>
              <w:t>2.根据财政部司法部《关于政府采购支持监狱企业发展有关问题的通知》（财库〔2014〕68号）和财政部民政部中国残疾人联合会《关于促进残疾人就业政府采购政策的通知》（财库〔2017〕141号）规定，本项目对监狱企业、残疾人福利性企业作为供应商等同于小微企业。</w:t>
            </w:r>
          </w:p>
          <w:p w14:paraId="0ECBCD1D">
            <w:pPr>
              <w:spacing w:line="360" w:lineRule="auto"/>
              <w:rPr>
                <w:rFonts w:hint="eastAsia" w:ascii="仿宋" w:hAnsi="仿宋" w:eastAsia="仿宋" w:cs="仿宋"/>
                <w:spacing w:val="9"/>
                <w:sz w:val="24"/>
                <w:szCs w:val="24"/>
                <w:highlight w:val="none"/>
              </w:rPr>
            </w:pPr>
            <w:r>
              <w:rPr>
                <w:rFonts w:hint="eastAsia" w:ascii="仿宋" w:hAnsi="仿宋" w:eastAsia="仿宋" w:cs="仿宋"/>
                <w:spacing w:val="9"/>
                <w:sz w:val="24"/>
                <w:szCs w:val="24"/>
                <w:highlight w:val="none"/>
              </w:rPr>
              <w:t>3.本项目专门面向中小微企业采购，价格评审不给予扣除。</w:t>
            </w:r>
          </w:p>
        </w:tc>
      </w:tr>
      <w:tr w14:paraId="50C220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526A03BB">
            <w:pPr>
              <w:spacing w:line="360" w:lineRule="auto"/>
              <w:jc w:val="center"/>
              <w:rPr>
                <w:rFonts w:hint="eastAsia" w:ascii="仿宋" w:hAnsi="仿宋" w:eastAsia="仿宋" w:cs="仿宋"/>
                <w:spacing w:val="5"/>
                <w:sz w:val="24"/>
                <w:szCs w:val="24"/>
                <w:highlight w:val="none"/>
              </w:rPr>
            </w:pPr>
            <w:r>
              <w:rPr>
                <w:rFonts w:hint="eastAsia" w:ascii="仿宋" w:hAnsi="仿宋" w:eastAsia="仿宋" w:cs="仿宋"/>
                <w:spacing w:val="5"/>
                <w:sz w:val="24"/>
                <w:szCs w:val="24"/>
                <w:highlight w:val="none"/>
              </w:rPr>
              <w:t>33</w:t>
            </w:r>
          </w:p>
        </w:tc>
        <w:tc>
          <w:tcPr>
            <w:tcW w:w="9227" w:type="dxa"/>
            <w:gridSpan w:val="2"/>
            <w:tcBorders>
              <w:top w:val="single" w:color="000000" w:sz="2" w:space="0"/>
              <w:left w:val="single" w:color="000000" w:sz="2" w:space="0"/>
              <w:bottom w:val="single" w:color="000000" w:sz="2" w:space="0"/>
              <w:right w:val="single" w:color="000000" w:sz="2" w:space="0"/>
            </w:tcBorders>
            <w:vAlign w:val="center"/>
          </w:tcPr>
          <w:p w14:paraId="0394BE9D">
            <w:pPr>
              <w:spacing w:line="360" w:lineRule="auto"/>
              <w:rPr>
                <w:rFonts w:hint="eastAsia" w:ascii="仿宋" w:hAnsi="仿宋" w:eastAsia="仿宋" w:cs="仿宋"/>
                <w:spacing w:val="5"/>
                <w:sz w:val="24"/>
                <w:szCs w:val="24"/>
                <w:highlight w:val="none"/>
              </w:rPr>
            </w:pPr>
            <w:r>
              <w:rPr>
                <w:rFonts w:hint="eastAsia" w:ascii="仿宋" w:hAnsi="仿宋" w:eastAsia="仿宋" w:cs="仿宋"/>
                <w:spacing w:val="5"/>
                <w:sz w:val="24"/>
                <w:szCs w:val="24"/>
                <w:highlight w:val="none"/>
              </w:rPr>
              <w:t>本项目所属行业：餐饮业</w:t>
            </w:r>
          </w:p>
        </w:tc>
      </w:tr>
      <w:tr w14:paraId="14B80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9" w:hRule="atLeast"/>
        </w:trPr>
        <w:tc>
          <w:tcPr>
            <w:tcW w:w="728" w:type="dxa"/>
            <w:tcBorders>
              <w:top w:val="single" w:color="000000" w:sz="2" w:space="0"/>
              <w:left w:val="single" w:color="000000" w:sz="2" w:space="0"/>
              <w:bottom w:val="single" w:color="000000" w:sz="2" w:space="0"/>
              <w:right w:val="single" w:color="000000" w:sz="2" w:space="0"/>
            </w:tcBorders>
            <w:vAlign w:val="center"/>
          </w:tcPr>
          <w:p w14:paraId="015B73EE">
            <w:pPr>
              <w:spacing w:line="360" w:lineRule="auto"/>
              <w:jc w:val="center"/>
              <w:rPr>
                <w:rFonts w:hint="eastAsia" w:ascii="仿宋" w:hAnsi="仿宋" w:eastAsia="仿宋" w:cs="仿宋"/>
                <w:spacing w:val="5"/>
                <w:sz w:val="24"/>
                <w:szCs w:val="24"/>
                <w:highlight w:val="none"/>
              </w:rPr>
            </w:pPr>
            <w:r>
              <w:rPr>
                <w:rFonts w:hint="eastAsia" w:ascii="仿宋" w:hAnsi="仿宋" w:eastAsia="仿宋" w:cs="仿宋"/>
                <w:spacing w:val="5"/>
                <w:sz w:val="24"/>
                <w:szCs w:val="24"/>
                <w:highlight w:val="none"/>
              </w:rPr>
              <w:t>34</w:t>
            </w:r>
          </w:p>
        </w:tc>
        <w:tc>
          <w:tcPr>
            <w:tcW w:w="9227" w:type="dxa"/>
            <w:gridSpan w:val="2"/>
            <w:tcBorders>
              <w:top w:val="single" w:color="000000" w:sz="2" w:space="0"/>
              <w:left w:val="single" w:color="000000" w:sz="2" w:space="0"/>
              <w:bottom w:val="single" w:color="000000" w:sz="2" w:space="0"/>
              <w:right w:val="single" w:color="000000" w:sz="2" w:space="0"/>
            </w:tcBorders>
            <w:vAlign w:val="center"/>
          </w:tcPr>
          <w:p w14:paraId="447ECE05">
            <w:pPr>
              <w:spacing w:line="360" w:lineRule="auto"/>
              <w:rPr>
                <w:rFonts w:hint="eastAsia" w:ascii="仿宋" w:hAnsi="仿宋" w:eastAsia="仿宋" w:cs="仿宋"/>
                <w:spacing w:val="5"/>
                <w:sz w:val="24"/>
                <w:szCs w:val="24"/>
                <w:highlight w:val="none"/>
              </w:rPr>
            </w:pPr>
            <w:r>
              <w:rPr>
                <w:rFonts w:hint="eastAsia" w:ascii="仿宋" w:hAnsi="仿宋" w:eastAsia="仿宋" w:cs="仿宋"/>
                <w:sz w:val="24"/>
                <w:szCs w:val="24"/>
                <w:highlight w:val="none"/>
              </w:rPr>
              <w:t>同义词语：构成磋商文件组成部分的“合同条款”、等章节中出现的措辞“发包人”和“承包人”，在招标投标阶段应当分别按“招标人”和“投标人”进行理解。“采购人”与“招标人”含意相同；“投标人”与“供应商”、“响应人”含意相同；“招标代理机构”与“采购代理机构”或“代理机构”含意相同。</w:t>
            </w:r>
          </w:p>
        </w:tc>
      </w:tr>
    </w:tbl>
    <w:p w14:paraId="6F972623">
      <w:pPr>
        <w:kinsoku/>
        <w:autoSpaceDE/>
        <w:autoSpaceDN/>
        <w:adjustRightInd/>
        <w:snapToGrid/>
        <w:spacing w:line="360" w:lineRule="auto"/>
        <w:textAlignment w:val="auto"/>
        <w:rPr>
          <w:rFonts w:hint="eastAsia" w:ascii="仿宋" w:hAnsi="仿宋" w:eastAsia="仿宋" w:cs="仿宋"/>
          <w:color w:val="auto"/>
          <w:highlight w:val="none"/>
        </w:rPr>
        <w:sectPr>
          <w:pgSz w:w="11906" w:h="16839"/>
          <w:pgMar w:top="1431" w:right="754" w:bottom="1155" w:left="754" w:header="0" w:footer="992" w:gutter="0"/>
          <w:pgNumType w:fmt="decimal"/>
          <w:cols w:space="720" w:num="1"/>
        </w:sectPr>
      </w:pPr>
    </w:p>
    <w:p w14:paraId="4F311104">
      <w:pPr>
        <w:spacing w:line="360" w:lineRule="auto"/>
        <w:jc w:val="center"/>
        <w:outlineLvl w:val="1"/>
        <w:rPr>
          <w:rFonts w:hint="eastAsia" w:ascii="仿宋" w:hAnsi="仿宋" w:eastAsia="仿宋" w:cs="仿宋"/>
          <w:b/>
          <w:sz w:val="24"/>
          <w:szCs w:val="24"/>
          <w:highlight w:val="none"/>
        </w:rPr>
      </w:pPr>
      <w:bookmarkStart w:id="13" w:name="_Toc5959950"/>
      <w:bookmarkEnd w:id="13"/>
      <w:r>
        <w:rPr>
          <w:rFonts w:hint="eastAsia" w:ascii="仿宋" w:hAnsi="仿宋" w:eastAsia="仿宋" w:cs="仿宋"/>
          <w:b/>
          <w:sz w:val="24"/>
          <w:szCs w:val="24"/>
          <w:highlight w:val="none"/>
        </w:rPr>
        <w:t>供应商须知正文</w:t>
      </w:r>
    </w:p>
    <w:p w14:paraId="0D0F5D80">
      <w:pPr>
        <w:spacing w:line="360" w:lineRule="auto"/>
        <w:jc w:val="center"/>
        <w:outlineLvl w:val="1"/>
        <w:rPr>
          <w:rFonts w:hint="eastAsia" w:ascii="仿宋" w:hAnsi="仿宋" w:eastAsia="仿宋" w:cs="仿宋"/>
          <w:b/>
          <w:sz w:val="24"/>
          <w:szCs w:val="24"/>
          <w:highlight w:val="none"/>
        </w:rPr>
      </w:pPr>
      <w:bookmarkStart w:id="14" w:name="_Toc28602"/>
      <w:bookmarkEnd w:id="14"/>
      <w:bookmarkStart w:id="15" w:name="_Toc5959951"/>
      <w:r>
        <w:rPr>
          <w:rFonts w:hint="eastAsia" w:ascii="仿宋" w:hAnsi="仿宋" w:eastAsia="仿宋" w:cs="仿宋"/>
          <w:b/>
          <w:sz w:val="24"/>
          <w:szCs w:val="24"/>
          <w:highlight w:val="none"/>
        </w:rPr>
        <w:t>一、说明</w:t>
      </w:r>
      <w:bookmarkEnd w:id="15"/>
    </w:p>
    <w:p w14:paraId="4264AC93">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1.适用范围</w:t>
      </w:r>
    </w:p>
    <w:p w14:paraId="312EB837">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 本磋商文件仅适用于供应商须知前附表中所叙述的采购项目。</w:t>
      </w:r>
    </w:p>
    <w:p w14:paraId="724F6FA2">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2.定义</w:t>
      </w:r>
    </w:p>
    <w:p w14:paraId="52DBDE9D">
      <w:pPr>
        <w:spacing w:line="360" w:lineRule="auto"/>
        <w:ind w:firstLine="480" w:firstLineChars="200"/>
        <w:rPr>
          <w:rFonts w:hint="eastAsia" w:ascii="仿宋" w:hAnsi="仿宋" w:eastAsia="仿宋" w:cs="仿宋"/>
          <w:b/>
          <w:sz w:val="24"/>
          <w:szCs w:val="24"/>
          <w:highlight w:val="none"/>
        </w:rPr>
      </w:pPr>
      <w:r>
        <w:rPr>
          <w:rFonts w:hint="eastAsia" w:ascii="仿宋" w:hAnsi="仿宋" w:eastAsia="仿宋" w:cs="仿宋"/>
          <w:sz w:val="24"/>
          <w:szCs w:val="24"/>
          <w:highlight w:val="none"/>
        </w:rPr>
        <w:t>2.1 “采购人”是指依法进行政府采购的国家机关、事业单位、团体组织。本次政府采购的采购人名称、地址、电话、联系人见</w:t>
      </w:r>
      <w:r>
        <w:rPr>
          <w:rFonts w:hint="eastAsia" w:ascii="仿宋" w:hAnsi="仿宋" w:eastAsia="仿宋" w:cs="仿宋"/>
          <w:b/>
          <w:sz w:val="24"/>
          <w:szCs w:val="24"/>
          <w:highlight w:val="none"/>
        </w:rPr>
        <w:t>供应商须知前附表</w:t>
      </w:r>
      <w:r>
        <w:rPr>
          <w:rFonts w:hint="eastAsia" w:ascii="仿宋" w:hAnsi="仿宋" w:eastAsia="仿宋" w:cs="仿宋"/>
          <w:sz w:val="24"/>
          <w:szCs w:val="24"/>
          <w:highlight w:val="none"/>
        </w:rPr>
        <w:t>。</w:t>
      </w:r>
    </w:p>
    <w:p w14:paraId="77BAD77C">
      <w:pPr>
        <w:spacing w:line="360" w:lineRule="auto"/>
        <w:ind w:firstLine="480" w:firstLineChars="200"/>
        <w:rPr>
          <w:rFonts w:hint="eastAsia" w:ascii="仿宋" w:hAnsi="仿宋" w:eastAsia="仿宋" w:cs="仿宋"/>
          <w:b/>
          <w:sz w:val="24"/>
          <w:szCs w:val="24"/>
          <w:highlight w:val="none"/>
        </w:rPr>
      </w:pPr>
      <w:r>
        <w:rPr>
          <w:rFonts w:hint="eastAsia" w:ascii="仿宋" w:hAnsi="仿宋" w:eastAsia="仿宋" w:cs="仿宋"/>
          <w:sz w:val="24"/>
          <w:szCs w:val="24"/>
          <w:highlight w:val="none"/>
        </w:rPr>
        <w:t>2.2 “采购代理机构”是指接受采购人委托，代理采购项目的集中采购机构和其他采购代理机构。本次政府采购的采购代理机构名称、地址、电话、联系人见</w:t>
      </w:r>
      <w:r>
        <w:rPr>
          <w:rFonts w:hint="eastAsia" w:ascii="仿宋" w:hAnsi="仿宋" w:eastAsia="仿宋" w:cs="仿宋"/>
          <w:b/>
          <w:sz w:val="24"/>
          <w:szCs w:val="24"/>
          <w:highlight w:val="none"/>
        </w:rPr>
        <w:t>供应商须知前附表。</w:t>
      </w:r>
    </w:p>
    <w:p w14:paraId="079CAE84">
      <w:pPr>
        <w:spacing w:line="360" w:lineRule="auto"/>
        <w:ind w:firstLine="480" w:firstLineChars="200"/>
        <w:rPr>
          <w:rFonts w:hint="eastAsia" w:ascii="仿宋" w:hAnsi="仿宋" w:eastAsia="仿宋" w:cs="仿宋"/>
          <w:bCs/>
          <w:kern w:val="36"/>
          <w:sz w:val="24"/>
          <w:szCs w:val="24"/>
          <w:highlight w:val="none"/>
        </w:rPr>
      </w:pPr>
      <w:r>
        <w:rPr>
          <w:rFonts w:hint="eastAsia" w:ascii="仿宋" w:hAnsi="仿宋" w:eastAsia="仿宋" w:cs="仿宋"/>
          <w:sz w:val="24"/>
          <w:szCs w:val="24"/>
          <w:highlight w:val="none"/>
        </w:rPr>
        <w:t>2.3 “供应商”是指响应磋商文件要求、参加竞争性磋商采购的法人、其他组织或者自然人。本次政府采购项目邀请的供应商通过</w:t>
      </w:r>
      <w:r>
        <w:rPr>
          <w:rFonts w:hint="eastAsia" w:ascii="仿宋" w:hAnsi="仿宋" w:eastAsia="仿宋" w:cs="仿宋"/>
          <w:b/>
          <w:sz w:val="24"/>
          <w:szCs w:val="24"/>
          <w:highlight w:val="none"/>
        </w:rPr>
        <w:t>供应商须知前附表</w:t>
      </w:r>
      <w:r>
        <w:rPr>
          <w:rFonts w:hint="eastAsia" w:ascii="仿宋" w:hAnsi="仿宋" w:eastAsia="仿宋" w:cs="仿宋"/>
          <w:sz w:val="24"/>
          <w:szCs w:val="24"/>
          <w:highlight w:val="none"/>
        </w:rPr>
        <w:t>所述方式，经</w:t>
      </w:r>
      <w:r>
        <w:rPr>
          <w:rFonts w:hint="eastAsia" w:ascii="仿宋" w:hAnsi="仿宋" w:eastAsia="仿宋" w:cs="仿宋"/>
          <w:bCs/>
          <w:kern w:val="36"/>
          <w:sz w:val="24"/>
          <w:szCs w:val="24"/>
          <w:highlight w:val="none"/>
        </w:rPr>
        <w:t>磋商小组确定。</w:t>
      </w:r>
    </w:p>
    <w:p w14:paraId="1E60035B">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2.4 “磋商小组”是指依据《中华人民共和国政府采购法》和财政部</w:t>
      </w:r>
      <w:r>
        <w:rPr>
          <w:rFonts w:hint="eastAsia" w:ascii="仿宋" w:hAnsi="仿宋" w:eastAsia="仿宋" w:cs="仿宋"/>
          <w:bCs/>
          <w:kern w:val="36"/>
          <w:sz w:val="24"/>
          <w:szCs w:val="24"/>
          <w:highlight w:val="none"/>
        </w:rPr>
        <w:t>《政府采购竞争性磋商采购方式管理暂行办法》有关规定组建，依法依规</w:t>
      </w:r>
      <w:r>
        <w:rPr>
          <w:rFonts w:hint="eastAsia" w:ascii="仿宋" w:hAnsi="仿宋" w:eastAsia="仿宋" w:cs="仿宋"/>
          <w:sz w:val="24"/>
          <w:szCs w:val="24"/>
          <w:highlight w:val="none"/>
        </w:rPr>
        <w:t>履行其职责和义务的机构。</w:t>
      </w:r>
    </w:p>
    <w:p w14:paraId="562B62EF">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2.5 “货物”是指各种形态和种类的物品，包括原材料、燃料、设备、产品等，详见《政府采购品目分类目录》(</w:t>
      </w:r>
      <w:r>
        <w:rPr>
          <w:rStyle w:val="32"/>
          <w:rFonts w:hint="eastAsia" w:ascii="仿宋" w:hAnsi="仿宋" w:eastAsia="仿宋" w:cs="仿宋"/>
          <w:b w:val="0"/>
          <w:sz w:val="24"/>
          <w:szCs w:val="24"/>
          <w:highlight w:val="none"/>
        </w:rPr>
        <w:t>财库[2013]189号</w:t>
      </w:r>
      <w:r>
        <w:rPr>
          <w:rFonts w:hint="eastAsia" w:ascii="仿宋" w:hAnsi="仿宋" w:eastAsia="仿宋" w:cs="仿宋"/>
          <w:sz w:val="24"/>
          <w:szCs w:val="24"/>
          <w:highlight w:val="none"/>
        </w:rPr>
        <w:t>)。</w:t>
      </w:r>
    </w:p>
    <w:p w14:paraId="727CA372">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2.6 “工程”是指建设工程，包括建筑物和构筑物的新建、改建、扩建、装修、拆除、修缮等，详见《政府采购品目分类目录》(</w:t>
      </w:r>
      <w:r>
        <w:rPr>
          <w:rStyle w:val="32"/>
          <w:rFonts w:hint="eastAsia" w:ascii="仿宋" w:hAnsi="仿宋" w:eastAsia="仿宋" w:cs="仿宋"/>
          <w:b w:val="0"/>
          <w:sz w:val="24"/>
          <w:szCs w:val="24"/>
          <w:highlight w:val="none"/>
        </w:rPr>
        <w:t>财库[2013]189号</w:t>
      </w:r>
      <w:r>
        <w:rPr>
          <w:rFonts w:hint="eastAsia" w:ascii="仿宋" w:hAnsi="仿宋" w:eastAsia="仿宋" w:cs="仿宋"/>
          <w:sz w:val="24"/>
          <w:szCs w:val="24"/>
          <w:highlight w:val="none"/>
        </w:rPr>
        <w:t>)。</w:t>
      </w:r>
    </w:p>
    <w:p w14:paraId="2441C76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2.7 “服务”是指除货物和工程以外的其他政府采购对象，详见《政府采购品目分类目录》(</w:t>
      </w:r>
      <w:r>
        <w:rPr>
          <w:rStyle w:val="32"/>
          <w:rFonts w:hint="eastAsia" w:ascii="仿宋" w:hAnsi="仿宋" w:eastAsia="仿宋" w:cs="仿宋"/>
          <w:b w:val="0"/>
          <w:sz w:val="24"/>
          <w:szCs w:val="24"/>
          <w:highlight w:val="none"/>
        </w:rPr>
        <w:t>财库[2013]189号</w:t>
      </w:r>
      <w:r>
        <w:rPr>
          <w:rFonts w:hint="eastAsia" w:ascii="仿宋" w:hAnsi="仿宋" w:eastAsia="仿宋" w:cs="仿宋"/>
          <w:sz w:val="24"/>
          <w:szCs w:val="24"/>
          <w:highlight w:val="none"/>
        </w:rPr>
        <w:t>)。</w:t>
      </w:r>
    </w:p>
    <w:p w14:paraId="022B585B">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2.8 “节能产品”或者“环保产品”是指财政部发布的《节能产品政府采购品目清单》或者《环境标志产品政府采购品目清单》的产品。</w:t>
      </w:r>
    </w:p>
    <w:p w14:paraId="257D1F7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2.9 “进口产品”是指通过中国海关报关验放进入中国境内且产自关境外的产品，详见《关于政府采购进口产品管理有关问题的通知》(财库[2007]119号)。</w:t>
      </w:r>
    </w:p>
    <w:p w14:paraId="2449DC51">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3.服务内容及范围</w:t>
      </w:r>
    </w:p>
    <w:p w14:paraId="38F35EF7">
      <w:pPr>
        <w:pStyle w:val="28"/>
        <w:spacing w:line="360" w:lineRule="auto"/>
        <w:ind w:firstLine="363"/>
        <w:rPr>
          <w:rFonts w:hint="eastAsia" w:ascii="仿宋" w:hAnsi="仿宋" w:eastAsia="仿宋" w:cs="仿宋"/>
          <w:sz w:val="24"/>
          <w:szCs w:val="24"/>
          <w:highlight w:val="none"/>
        </w:rPr>
      </w:pPr>
      <w:r>
        <w:rPr>
          <w:rFonts w:hint="eastAsia" w:ascii="仿宋" w:hAnsi="仿宋" w:eastAsia="仿宋" w:cs="仿宋"/>
          <w:sz w:val="24"/>
          <w:szCs w:val="24"/>
          <w:highlight w:val="none"/>
        </w:rPr>
        <w:t>3.1服务内容：见供应商须知前附表。</w:t>
      </w:r>
    </w:p>
    <w:p w14:paraId="44239C0F">
      <w:pPr>
        <w:pStyle w:val="28"/>
        <w:spacing w:line="360" w:lineRule="auto"/>
        <w:ind w:firstLine="363"/>
        <w:rPr>
          <w:rFonts w:hint="eastAsia" w:ascii="仿宋" w:hAnsi="仿宋" w:eastAsia="仿宋" w:cs="仿宋"/>
          <w:sz w:val="24"/>
          <w:szCs w:val="24"/>
          <w:highlight w:val="none"/>
        </w:rPr>
      </w:pPr>
      <w:r>
        <w:rPr>
          <w:rFonts w:hint="eastAsia" w:ascii="仿宋" w:hAnsi="仿宋" w:eastAsia="仿宋" w:cs="仿宋"/>
          <w:sz w:val="24"/>
          <w:szCs w:val="24"/>
          <w:highlight w:val="none"/>
        </w:rPr>
        <w:t>3.2磋商范围：见供应商须知前附表。</w:t>
      </w:r>
    </w:p>
    <w:p w14:paraId="022FE32C">
      <w:pPr>
        <w:pStyle w:val="28"/>
        <w:spacing w:line="360" w:lineRule="auto"/>
        <w:ind w:firstLine="363"/>
        <w:rPr>
          <w:rFonts w:hint="eastAsia" w:ascii="仿宋" w:hAnsi="仿宋" w:eastAsia="仿宋" w:cs="仿宋"/>
          <w:sz w:val="24"/>
          <w:szCs w:val="24"/>
          <w:highlight w:val="none"/>
        </w:rPr>
      </w:pPr>
      <w:r>
        <w:rPr>
          <w:rFonts w:hint="eastAsia" w:ascii="仿宋" w:hAnsi="仿宋" w:eastAsia="仿宋" w:cs="仿宋"/>
          <w:sz w:val="24"/>
          <w:szCs w:val="24"/>
          <w:highlight w:val="none"/>
        </w:rPr>
        <w:t>3.3服务地点：见供应商须知前附表。</w:t>
      </w:r>
    </w:p>
    <w:p w14:paraId="4B751D2A">
      <w:pPr>
        <w:pStyle w:val="28"/>
        <w:spacing w:line="360" w:lineRule="auto"/>
        <w:ind w:firstLine="363"/>
        <w:rPr>
          <w:rFonts w:hint="eastAsia" w:ascii="仿宋" w:hAnsi="仿宋" w:eastAsia="仿宋" w:cs="仿宋"/>
          <w:sz w:val="24"/>
          <w:szCs w:val="24"/>
          <w:highlight w:val="none"/>
        </w:rPr>
      </w:pPr>
      <w:r>
        <w:rPr>
          <w:rFonts w:hint="eastAsia" w:ascii="仿宋" w:hAnsi="仿宋" w:eastAsia="仿宋" w:cs="仿宋"/>
          <w:sz w:val="24"/>
          <w:szCs w:val="24"/>
          <w:highlight w:val="none"/>
        </w:rPr>
        <w:t>3.4标包划分：见供应商须知前附表。</w:t>
      </w:r>
    </w:p>
    <w:p w14:paraId="0F8939E1">
      <w:pPr>
        <w:pStyle w:val="28"/>
        <w:spacing w:line="360" w:lineRule="auto"/>
        <w:ind w:firstLine="363"/>
        <w:rPr>
          <w:rFonts w:hint="eastAsia" w:ascii="仿宋" w:hAnsi="仿宋" w:eastAsia="仿宋" w:cs="仿宋"/>
          <w:sz w:val="24"/>
          <w:szCs w:val="24"/>
          <w:highlight w:val="none"/>
        </w:rPr>
      </w:pPr>
      <w:r>
        <w:rPr>
          <w:rFonts w:hint="eastAsia" w:ascii="仿宋" w:hAnsi="仿宋" w:eastAsia="仿宋" w:cs="仿宋"/>
          <w:sz w:val="24"/>
          <w:szCs w:val="24"/>
          <w:highlight w:val="none"/>
        </w:rPr>
        <w:t>3.5服务期限：见供应商须知前附表。</w:t>
      </w:r>
    </w:p>
    <w:p w14:paraId="44AA4336">
      <w:pPr>
        <w:pStyle w:val="28"/>
        <w:spacing w:line="360" w:lineRule="auto"/>
        <w:ind w:firstLine="363"/>
        <w:rPr>
          <w:rFonts w:hint="eastAsia" w:ascii="仿宋" w:hAnsi="仿宋" w:eastAsia="仿宋" w:cs="仿宋"/>
          <w:kern w:val="2"/>
          <w:sz w:val="24"/>
          <w:szCs w:val="24"/>
          <w:highlight w:val="none"/>
        </w:rPr>
      </w:pPr>
      <w:r>
        <w:rPr>
          <w:rFonts w:hint="eastAsia" w:ascii="仿宋" w:hAnsi="仿宋" w:eastAsia="仿宋" w:cs="仿宋"/>
          <w:sz w:val="24"/>
          <w:szCs w:val="24"/>
          <w:highlight w:val="none"/>
        </w:rPr>
        <w:t>3.6质量要求：见供应商须知前附表。</w:t>
      </w:r>
    </w:p>
    <w:p w14:paraId="11E5515D">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4.资金来源及预算金额</w:t>
      </w:r>
    </w:p>
    <w:p w14:paraId="4899830A">
      <w:pPr>
        <w:pStyle w:val="28"/>
        <w:spacing w:line="360" w:lineRule="auto"/>
        <w:ind w:firstLine="363"/>
        <w:rPr>
          <w:rFonts w:hint="eastAsia" w:ascii="仿宋" w:hAnsi="仿宋" w:eastAsia="仿宋" w:cs="仿宋"/>
          <w:sz w:val="24"/>
          <w:szCs w:val="24"/>
          <w:highlight w:val="none"/>
        </w:rPr>
      </w:pPr>
      <w:r>
        <w:rPr>
          <w:rFonts w:hint="eastAsia" w:ascii="仿宋" w:hAnsi="仿宋" w:eastAsia="仿宋" w:cs="仿宋"/>
          <w:sz w:val="24"/>
          <w:szCs w:val="24"/>
          <w:highlight w:val="none"/>
        </w:rPr>
        <w:t>4.1资金来源：见供应商须知前附表。</w:t>
      </w:r>
    </w:p>
    <w:p w14:paraId="19E74DEE">
      <w:pPr>
        <w:pStyle w:val="28"/>
        <w:spacing w:line="360" w:lineRule="auto"/>
        <w:ind w:firstLine="363"/>
        <w:rPr>
          <w:rFonts w:hint="eastAsia" w:ascii="仿宋" w:hAnsi="仿宋" w:eastAsia="仿宋" w:cs="仿宋"/>
          <w:sz w:val="24"/>
          <w:szCs w:val="24"/>
          <w:highlight w:val="none"/>
        </w:rPr>
      </w:pPr>
      <w:r>
        <w:rPr>
          <w:rFonts w:hint="eastAsia" w:ascii="仿宋" w:hAnsi="仿宋" w:eastAsia="仿宋" w:cs="仿宋"/>
          <w:sz w:val="24"/>
          <w:szCs w:val="24"/>
          <w:highlight w:val="none"/>
        </w:rPr>
        <w:t>4.2预算金额（最高限价）：见供应商须知前附表。</w:t>
      </w:r>
    </w:p>
    <w:p w14:paraId="35C6D01E">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5.供应商资格要求</w:t>
      </w:r>
    </w:p>
    <w:p w14:paraId="02AAA682">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 供应商资格要求见供应商须知前附表。  </w:t>
      </w:r>
    </w:p>
    <w:p w14:paraId="4EDF768C">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5.2 供应商须知前附表规定接受供应商以联合体形式参加磋商的，联合体除应符合本章第 5.1 项和供应商须知前附表的要求外，还应遵守以下规定：</w:t>
      </w:r>
    </w:p>
    <w:p w14:paraId="4492FDC3">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（1）联合体各方应按磋商文件提供的格式签订联合体协议书，明确联合体牵头人和各方权利义务，并承诺就成交的项目向采购人承担连带责任；</w:t>
      </w:r>
    </w:p>
    <w:p w14:paraId="387B00F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260FB57F">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5.3 供应商不得存在下列情形之一：</w:t>
      </w:r>
    </w:p>
    <w:p w14:paraId="72271D5A">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（1）单位负责人为同一人或者存在直接控股、管理关系的不同供应商，不得参加同一合同项下的政府采购活动。</w:t>
      </w:r>
    </w:p>
    <w:p w14:paraId="4CF6DE4E">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（2）为采购项目提供整体设计、规范编制或者项目管理、监理、检测等服务的供应商，不得再参加该项目的其他采购活动。</w:t>
      </w:r>
    </w:p>
    <w:p w14:paraId="10100C8F">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（3）法律法规或供应商须知前附表规定的其他情形。</w:t>
      </w:r>
    </w:p>
    <w:p w14:paraId="756C1EA7">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6.费用承担</w:t>
      </w:r>
    </w:p>
    <w:p w14:paraId="56CED8EF">
      <w:pPr>
        <w:spacing w:line="360" w:lineRule="auto"/>
        <w:ind w:left="520" w:right="-20"/>
        <w:rPr>
          <w:rFonts w:hint="eastAsia" w:ascii="仿宋" w:hAnsi="仿宋" w:eastAsia="仿宋" w:cs="仿宋"/>
          <w:sz w:val="24"/>
          <w:szCs w:val="24"/>
          <w:highlight w:val="none"/>
        </w:rPr>
      </w:pPr>
      <w:r>
        <w:rPr>
          <w:rFonts w:hint="eastAsia" w:ascii="仿宋" w:hAnsi="仿宋" w:eastAsia="仿宋" w:cs="仿宋"/>
          <w:sz w:val="24"/>
          <w:szCs w:val="24"/>
          <w:highlight w:val="none"/>
        </w:rPr>
        <w:t>供应商准</w:t>
      </w:r>
      <w:r>
        <w:rPr>
          <w:rFonts w:hint="eastAsia" w:ascii="仿宋" w:hAnsi="仿宋" w:eastAsia="仿宋" w:cs="仿宋"/>
          <w:spacing w:val="-2"/>
          <w:sz w:val="24"/>
          <w:szCs w:val="24"/>
          <w:highlight w:val="none"/>
        </w:rPr>
        <w:t>备</w:t>
      </w:r>
      <w:r>
        <w:rPr>
          <w:rFonts w:hint="eastAsia" w:ascii="仿宋" w:hAnsi="仿宋" w:eastAsia="仿宋" w:cs="仿宋"/>
          <w:sz w:val="24"/>
          <w:szCs w:val="24"/>
          <w:highlight w:val="none"/>
        </w:rPr>
        <w:t>和</w:t>
      </w:r>
      <w:r>
        <w:rPr>
          <w:rFonts w:hint="eastAsia" w:ascii="仿宋" w:hAnsi="仿宋" w:eastAsia="仿宋" w:cs="仿宋"/>
          <w:spacing w:val="-2"/>
          <w:sz w:val="24"/>
          <w:szCs w:val="24"/>
          <w:highlight w:val="none"/>
        </w:rPr>
        <w:t>参</w:t>
      </w:r>
      <w:r>
        <w:rPr>
          <w:rFonts w:hint="eastAsia" w:ascii="仿宋" w:hAnsi="仿宋" w:eastAsia="仿宋" w:cs="仿宋"/>
          <w:sz w:val="24"/>
          <w:szCs w:val="24"/>
          <w:highlight w:val="none"/>
        </w:rPr>
        <w:t>加</w:t>
      </w:r>
      <w:r>
        <w:rPr>
          <w:rFonts w:hint="eastAsia" w:ascii="仿宋" w:hAnsi="仿宋" w:eastAsia="仿宋" w:cs="仿宋"/>
          <w:spacing w:val="-2"/>
          <w:sz w:val="24"/>
          <w:szCs w:val="24"/>
          <w:highlight w:val="none"/>
        </w:rPr>
        <w:t>竞争性磋商活动</w:t>
      </w:r>
      <w:r>
        <w:rPr>
          <w:rFonts w:hint="eastAsia" w:ascii="仿宋" w:hAnsi="仿宋" w:eastAsia="仿宋" w:cs="仿宋"/>
          <w:sz w:val="24"/>
          <w:szCs w:val="24"/>
          <w:highlight w:val="none"/>
        </w:rPr>
        <w:t>发</w:t>
      </w:r>
      <w:r>
        <w:rPr>
          <w:rFonts w:hint="eastAsia" w:ascii="仿宋" w:hAnsi="仿宋" w:eastAsia="仿宋" w:cs="仿宋"/>
          <w:spacing w:val="-2"/>
          <w:sz w:val="24"/>
          <w:szCs w:val="24"/>
          <w:highlight w:val="none"/>
        </w:rPr>
        <w:t>生</w:t>
      </w:r>
      <w:r>
        <w:rPr>
          <w:rFonts w:hint="eastAsia" w:ascii="仿宋" w:hAnsi="仿宋" w:eastAsia="仿宋" w:cs="仿宋"/>
          <w:sz w:val="24"/>
          <w:szCs w:val="24"/>
          <w:highlight w:val="none"/>
        </w:rPr>
        <w:t>的</w:t>
      </w:r>
      <w:r>
        <w:rPr>
          <w:rFonts w:hint="eastAsia" w:ascii="仿宋" w:hAnsi="仿宋" w:eastAsia="仿宋" w:cs="仿宋"/>
          <w:spacing w:val="-2"/>
          <w:sz w:val="24"/>
          <w:szCs w:val="24"/>
          <w:highlight w:val="none"/>
        </w:rPr>
        <w:t>费</w:t>
      </w:r>
      <w:r>
        <w:rPr>
          <w:rFonts w:hint="eastAsia" w:ascii="仿宋" w:hAnsi="仿宋" w:eastAsia="仿宋" w:cs="仿宋"/>
          <w:sz w:val="24"/>
          <w:szCs w:val="24"/>
          <w:highlight w:val="none"/>
        </w:rPr>
        <w:t>用</w:t>
      </w:r>
      <w:r>
        <w:rPr>
          <w:rFonts w:hint="eastAsia" w:ascii="仿宋" w:hAnsi="仿宋" w:eastAsia="仿宋" w:cs="仿宋"/>
          <w:spacing w:val="-2"/>
          <w:sz w:val="24"/>
          <w:szCs w:val="24"/>
          <w:highlight w:val="none"/>
        </w:rPr>
        <w:t>自</w:t>
      </w:r>
      <w:r>
        <w:rPr>
          <w:rFonts w:hint="eastAsia" w:ascii="仿宋" w:hAnsi="仿宋" w:eastAsia="仿宋" w:cs="仿宋"/>
          <w:sz w:val="24"/>
          <w:szCs w:val="24"/>
          <w:highlight w:val="none"/>
        </w:rPr>
        <w:t>理。</w:t>
      </w:r>
    </w:p>
    <w:p w14:paraId="166A73C3">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7. 保密</w:t>
      </w:r>
    </w:p>
    <w:p w14:paraId="0E7D73D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参与竞争性磋商的各方应对磋商文件和响应文件中的商业和技术等秘密保密，否则应承担相应的法律责任。</w:t>
      </w:r>
    </w:p>
    <w:p w14:paraId="066DC7E1">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8. 语言文字</w:t>
      </w:r>
    </w:p>
    <w:p w14:paraId="2D5224D6">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磋商文件和响应文件使用的语言文字为中文。专用术语使用外文的，应附有中文注释。</w:t>
      </w:r>
    </w:p>
    <w:p w14:paraId="736A6104">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9. 计量单位</w:t>
      </w:r>
    </w:p>
    <w:p w14:paraId="41D68D47">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所有计量均采用中华人民共和国法定计量单位。</w:t>
      </w:r>
    </w:p>
    <w:p w14:paraId="173C4814">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10.现场勘察</w:t>
      </w:r>
    </w:p>
    <w:p w14:paraId="76373E81">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10.1 为使投标人更好的了解本项目历史文化名镇及传统村落现状概况、历史文化资源情况以及保护发展要求，为避免投标人盲目投标，确保项目顺利实施，请投标人获取文件后及时到现场自行进行实地勘察，并结合勘察情况进行现状历史文化资源分析。</w:t>
      </w:r>
    </w:p>
    <w:p w14:paraId="2CB7A7F8">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10.2 供应商勘察现场发生的费用自理。</w:t>
      </w:r>
    </w:p>
    <w:p w14:paraId="3B651319">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10.3 除采购人的原因外，供应商自行负责在勘察现场中所发生的人员伤亡和财产损失。</w:t>
      </w:r>
    </w:p>
    <w:p w14:paraId="6682093C">
      <w:pPr>
        <w:spacing w:line="360" w:lineRule="auto"/>
        <w:ind w:firstLine="480" w:firstLineChars="200"/>
        <w:rPr>
          <w:rFonts w:hint="eastAsia" w:ascii="仿宋" w:hAnsi="仿宋" w:eastAsia="仿宋" w:cs="仿宋"/>
          <w:b/>
          <w:sz w:val="24"/>
          <w:szCs w:val="24"/>
          <w:highlight w:val="none"/>
        </w:rPr>
      </w:pPr>
      <w:r>
        <w:rPr>
          <w:rFonts w:hint="eastAsia" w:ascii="仿宋" w:hAnsi="仿宋" w:eastAsia="仿宋" w:cs="仿宋"/>
          <w:sz w:val="24"/>
          <w:szCs w:val="24"/>
          <w:highlight w:val="none"/>
        </w:rPr>
        <w:t>10.4 采购人在勘察现场中介绍的现场和相关的周边环境情况，供供应商在编制响应文件时参考，采购人不对供应商据此作出的判断和决策负责。</w:t>
      </w:r>
    </w:p>
    <w:p w14:paraId="689C7021">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11.采购进口产品和服务</w:t>
      </w:r>
    </w:p>
    <w:p w14:paraId="17B9D1A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11.1除</w:t>
      </w:r>
      <w:r>
        <w:rPr>
          <w:rFonts w:hint="eastAsia" w:ascii="仿宋" w:hAnsi="仿宋" w:eastAsia="仿宋" w:cs="仿宋"/>
          <w:b/>
          <w:sz w:val="24"/>
          <w:szCs w:val="24"/>
          <w:highlight w:val="none"/>
        </w:rPr>
        <w:t>供应商前附表</w:t>
      </w:r>
      <w:r>
        <w:rPr>
          <w:rFonts w:hint="eastAsia" w:ascii="仿宋" w:hAnsi="仿宋" w:eastAsia="仿宋" w:cs="仿宋"/>
          <w:sz w:val="24"/>
          <w:szCs w:val="24"/>
          <w:highlight w:val="none"/>
        </w:rPr>
        <w:t>另有规定外，本项目拒绝进口产品或服务参加竞争性磋商采购活动。</w:t>
      </w:r>
    </w:p>
    <w:p w14:paraId="38F63BD7">
      <w:pPr>
        <w:spacing w:line="360" w:lineRule="auto"/>
        <w:ind w:firstLine="480" w:firstLineChars="200"/>
        <w:rPr>
          <w:rFonts w:hint="eastAsia" w:ascii="仿宋" w:hAnsi="仿宋" w:eastAsia="仿宋" w:cs="仿宋"/>
          <w:b/>
          <w:sz w:val="24"/>
          <w:szCs w:val="24"/>
          <w:highlight w:val="none"/>
        </w:rPr>
      </w:pPr>
      <w:r>
        <w:rPr>
          <w:rFonts w:hint="eastAsia" w:ascii="仿宋" w:hAnsi="仿宋" w:eastAsia="仿宋" w:cs="仿宋"/>
          <w:sz w:val="24"/>
          <w:szCs w:val="24"/>
          <w:highlight w:val="none"/>
        </w:rPr>
        <w:t>11.2本章第9款规定同意购买进口产品或服务的，本项目采购活动不限制满足磋商文件要求的国内产品或服务参与竞争性磋商。</w:t>
      </w:r>
    </w:p>
    <w:p w14:paraId="39569946">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12. 响应和偏差</w:t>
      </w:r>
    </w:p>
    <w:p w14:paraId="04E124FE">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12.1响应文件应当对磋商文件的实质性要求和条件作出满足或更有利于采购人的响应，否则，供应商的响应文件将被否决。实质性要求和条件见供应商须知前附表。</w:t>
      </w:r>
    </w:p>
    <w:p w14:paraId="4D8C562F">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12.2供应商须知前附表规定了可以偏差的范围和最高偏差项数的，偏差应当符合供应商须知前附表规定的偏差范围和最高项数，超出偏差范围和最高偏差项数的响应文件将被否决。</w:t>
      </w:r>
    </w:p>
    <w:p w14:paraId="7B0ACC97">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12.3响应文件对磋商文件的全部偏差，均应在响应文件的商务和技术偏差表中列明，除列明的内容外，视为供应商响应磋商文件的全部要求。</w:t>
      </w:r>
    </w:p>
    <w:p w14:paraId="60C6B2F6">
      <w:pPr>
        <w:spacing w:line="360" w:lineRule="auto"/>
        <w:ind w:left="906" w:hanging="906" w:hangingChars="376"/>
        <w:jc w:val="center"/>
        <w:outlineLvl w:val="1"/>
        <w:rPr>
          <w:rFonts w:hint="eastAsia" w:ascii="仿宋" w:hAnsi="仿宋" w:eastAsia="仿宋" w:cs="仿宋"/>
          <w:b/>
          <w:sz w:val="24"/>
          <w:szCs w:val="24"/>
          <w:highlight w:val="none"/>
        </w:rPr>
      </w:pPr>
      <w:bookmarkStart w:id="16" w:name="_Toc29370"/>
      <w:bookmarkEnd w:id="16"/>
      <w:bookmarkStart w:id="17" w:name="_Toc5959952"/>
      <w:r>
        <w:rPr>
          <w:rFonts w:hint="eastAsia" w:ascii="仿宋" w:hAnsi="仿宋" w:eastAsia="仿宋" w:cs="仿宋"/>
          <w:b/>
          <w:sz w:val="24"/>
          <w:szCs w:val="24"/>
          <w:highlight w:val="none"/>
        </w:rPr>
        <w:t>二、</w:t>
      </w:r>
      <w:bookmarkEnd w:id="17"/>
      <w:r>
        <w:rPr>
          <w:rFonts w:hint="eastAsia" w:ascii="仿宋" w:hAnsi="仿宋" w:eastAsia="仿宋" w:cs="仿宋"/>
          <w:b/>
          <w:sz w:val="24"/>
          <w:szCs w:val="24"/>
          <w:highlight w:val="none"/>
        </w:rPr>
        <w:t>磋商文件</w:t>
      </w:r>
    </w:p>
    <w:p w14:paraId="4C8A78BD">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13．磋商文件的组成</w:t>
      </w:r>
    </w:p>
    <w:p w14:paraId="35BF4D7B">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13.1 磋商文件包括：</w:t>
      </w:r>
    </w:p>
    <w:p w14:paraId="0C4E8517">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第一章 竞争性磋商公告</w:t>
      </w:r>
    </w:p>
    <w:p w14:paraId="2BE7954F">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第二章 供应商须知</w:t>
      </w:r>
    </w:p>
    <w:p w14:paraId="3B637AE8">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第三章 评标办法</w:t>
      </w:r>
    </w:p>
    <w:p w14:paraId="505E0325">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第四章 服务内容及要求</w:t>
      </w:r>
    </w:p>
    <w:p w14:paraId="627D8CE1">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第五章 合同（双方协商）</w:t>
      </w:r>
    </w:p>
    <w:p w14:paraId="18569A65">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第六章 响应文件格式</w:t>
      </w:r>
    </w:p>
    <w:p w14:paraId="4A0123B9">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13.2根据本章第14.3款、第15款对磋商文件所作的澄清、修改，构成磋商文件的组成部分。</w:t>
      </w:r>
    </w:p>
    <w:p w14:paraId="3EB3257F">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13.3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可能实质性变动的内容见供应商</w:t>
      </w:r>
      <w:r>
        <w:rPr>
          <w:rFonts w:hint="eastAsia" w:ascii="仿宋" w:hAnsi="仿宋" w:eastAsia="仿宋" w:cs="仿宋"/>
          <w:bCs/>
          <w:sz w:val="24"/>
          <w:szCs w:val="24"/>
          <w:highlight w:val="none"/>
        </w:rPr>
        <w:t>须知前附表。</w:t>
      </w:r>
    </w:p>
    <w:p w14:paraId="77ECAB85">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14. 磋商文件的质疑</w:t>
      </w:r>
    </w:p>
    <w:p w14:paraId="00A91F28">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14.1提出质疑的供应商（以下简称质疑供应商）应当是参与所质疑项目采购活动的供应商。</w:t>
      </w:r>
    </w:p>
    <w:p w14:paraId="0CD0C874">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潜在供应商已依法获取其可质疑的采购文件的，可以对该文件提出质疑。对采购文件提出质疑的，应当在获取采购文件或者采购文件公告期限届满之日起7个工作日内提出。</w:t>
      </w:r>
    </w:p>
    <w:p w14:paraId="726A8084">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14.2供应商应在法定质疑期内一次性提出针对同一采购程序环节的质疑。</w:t>
      </w:r>
    </w:p>
    <w:p w14:paraId="29C660CC">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14.3采购人、采购代理机构认为供应商质疑不成立，或者成立但未对中标、成交结果构成影响的，继续开展采购活动；认为供应商质疑成立且影响或者可能影响中标、成交结果的，依法通过澄清或者修改可以继续开展采购活动的，澄清或者修改采购文件后继续开展采购活动； </w:t>
      </w:r>
    </w:p>
    <w:p w14:paraId="137150D2">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14.4供应商提出质疑的形式和内容应符合法律法规和磋商文件的要求。</w:t>
      </w:r>
    </w:p>
    <w:p w14:paraId="6068BE69">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14.5投标人(供应商)向</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rPr>
        <w:t>人、招标代理机构提出质疑(异议)的方式为线上提起，并在规定时间内对投标人(供应商)的质疑函(异议书)进行回复，各投标人应时刻关注电子交易系统中的项目进度和状态。</w:t>
      </w:r>
    </w:p>
    <w:p w14:paraId="53B9DE9A">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15.磋商文件的澄清</w:t>
      </w:r>
      <w:r>
        <w:rPr>
          <w:rFonts w:hint="eastAsia" w:ascii="仿宋" w:hAnsi="仿宋" w:eastAsia="仿宋" w:cs="仿宋"/>
          <w:b/>
          <w:sz w:val="24"/>
          <w:szCs w:val="24"/>
          <w:highlight w:val="none"/>
        </w:rPr>
        <w:t>或者</w:t>
      </w:r>
      <w:r>
        <w:rPr>
          <w:rFonts w:hint="eastAsia" w:ascii="仿宋" w:hAnsi="仿宋" w:eastAsia="仿宋" w:cs="仿宋"/>
          <w:b/>
          <w:bCs/>
          <w:sz w:val="24"/>
          <w:szCs w:val="24"/>
          <w:highlight w:val="none"/>
        </w:rPr>
        <w:t>修改</w:t>
      </w:r>
    </w:p>
    <w:p w14:paraId="43AF71A9">
      <w:pPr>
        <w:spacing w:line="360" w:lineRule="auto"/>
        <w:ind w:firstLine="480" w:firstLineChars="200"/>
        <w:rPr>
          <w:rFonts w:hint="eastAsia" w:ascii="仿宋" w:hAnsi="仿宋" w:eastAsia="仿宋" w:cs="仿宋"/>
          <w:b/>
          <w:sz w:val="24"/>
          <w:szCs w:val="24"/>
          <w:highlight w:val="none"/>
        </w:rPr>
      </w:pPr>
      <w:r>
        <w:rPr>
          <w:rFonts w:hint="eastAsia" w:ascii="仿宋" w:hAnsi="仿宋" w:eastAsia="仿宋" w:cs="仿宋"/>
          <w:sz w:val="24"/>
          <w:szCs w:val="24"/>
          <w:highlight w:val="none"/>
        </w:rPr>
        <w:t>提交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响应文件截止时间至少5日前，以供应商须知前附表规定的形式通知所有接收磋商文件的供应商，不足5日的，采购人、采购代理机构应当顺延提交响应文件截止时间。提交响应文件截止时间见本章第22.1款。</w:t>
      </w:r>
      <w:bookmarkStart w:id="18" w:name="_Toc2356"/>
      <w:bookmarkEnd w:id="18"/>
    </w:p>
    <w:p w14:paraId="532B830E">
      <w:pPr>
        <w:numPr>
          <w:ilvl w:val="0"/>
          <w:numId w:val="1"/>
        </w:numPr>
        <w:spacing w:line="360" w:lineRule="auto"/>
        <w:rPr>
          <w:rFonts w:hint="eastAsia" w:ascii="仿宋" w:hAnsi="仿宋" w:eastAsia="仿宋" w:cs="仿宋"/>
          <w:b/>
          <w:bCs/>
          <w:sz w:val="24"/>
          <w:szCs w:val="24"/>
          <w:highlight w:val="none"/>
        </w:rPr>
      </w:pPr>
      <w:bookmarkStart w:id="19" w:name="_Toc5959953"/>
      <w:bookmarkEnd w:id="19"/>
      <w:r>
        <w:rPr>
          <w:rFonts w:hint="eastAsia" w:ascii="仿宋" w:hAnsi="仿宋" w:eastAsia="仿宋" w:cs="仿宋"/>
          <w:b/>
          <w:bCs/>
          <w:sz w:val="24"/>
          <w:szCs w:val="24"/>
          <w:highlight w:val="none"/>
        </w:rPr>
        <w:t xml:space="preserve">开标程序 </w:t>
      </w:r>
    </w:p>
    <w:p w14:paraId="3560D1F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1.投标人应在规定的时间（自系统发起40分钟内）内完成解密。</w:t>
      </w:r>
    </w:p>
    <w:p w14:paraId="5C4720C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本项目采用“远程不见面”开标方式,投标人无需到现场提交原件资料、无需到开封市公共资源交易中心现场参加开标会议；投标人应当在开标时间前,登录远程开标大厅,在线准时参加开标活动并进行投标文件解密、答疑澄清等。</w:t>
      </w:r>
    </w:p>
    <w:p w14:paraId="516E3033">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操作流程按开封市公共资源交易平台不见面开评系统操作手册</w:t>
      </w:r>
    </w:p>
    <w:p w14:paraId="1DDA786E">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因投标人原因造成投标文件未解密的，视为撤销其投标文件。部分投标人的投标文件未解密的，其他投标人的投标文件的开标会议可以继续进行。一个标段解密的投标文件不足三家时该标段不再继续进行。</w:t>
      </w:r>
    </w:p>
    <w:p w14:paraId="3F8BB6CE">
      <w:pPr>
        <w:numPr>
          <w:ilvl w:val="0"/>
          <w:numId w:val="0"/>
        </w:numPr>
        <w:spacing w:line="360" w:lineRule="auto"/>
        <w:ind w:left="0" w:leftChars="0" w:firstLine="0" w:firstLineChars="0"/>
        <w:rPr>
          <w:rFonts w:hint="eastAsia" w:ascii="仿宋" w:hAnsi="仿宋" w:eastAsia="仿宋" w:cs="仿宋"/>
          <w:sz w:val="24"/>
          <w:szCs w:val="24"/>
          <w:highlight w:val="none"/>
        </w:rPr>
      </w:pPr>
      <w:r>
        <w:rPr>
          <w:rFonts w:hint="default" w:ascii="Times New Roman" w:hAnsi="Times New Roman" w:eastAsia="仿宋" w:cs="Times New Roman"/>
          <w:color w:val="000000"/>
          <w:kern w:val="0"/>
          <w:sz w:val="24"/>
          <w:szCs w:val="24"/>
          <w:highlight w:val="none"/>
          <w:lang w:val="en-US" w:eastAsia="zh-CN" w:bidi="ar-SA"/>
        </w:rPr>
        <w:t>3、</w:t>
      </w:r>
      <w:r>
        <w:rPr>
          <w:rFonts w:hint="eastAsia" w:ascii="仿宋" w:hAnsi="仿宋" w:eastAsia="仿宋" w:cs="仿宋"/>
          <w:sz w:val="24"/>
          <w:szCs w:val="24"/>
          <w:highlight w:val="none"/>
        </w:rPr>
        <w:t>开标会议结束，各投标人可在开标会议过程中至开标会议结束后5分钟之内对开标会议开标过程涉及内容提出质疑，否则视为对开标过程涉及内容会议无异议。</w:t>
      </w:r>
    </w:p>
    <w:p w14:paraId="541B1DD3">
      <w:pPr>
        <w:spacing w:line="360" w:lineRule="auto"/>
        <w:rPr>
          <w:rFonts w:hint="eastAsia" w:ascii="仿宋" w:hAnsi="仿宋" w:eastAsia="仿宋" w:cs="仿宋"/>
          <w:b/>
          <w:bCs/>
          <w:sz w:val="24"/>
          <w:szCs w:val="24"/>
          <w:highlight w:val="none"/>
        </w:rPr>
      </w:pPr>
      <w:r>
        <w:rPr>
          <w:rFonts w:hint="eastAsia" w:ascii="仿宋" w:hAnsi="仿宋" w:eastAsia="仿宋" w:cs="仿宋"/>
          <w:spacing w:val="-6"/>
          <w:sz w:val="24"/>
          <w:szCs w:val="24"/>
          <w:highlight w:val="none"/>
        </w:rPr>
        <w:t>4、开标结束。</w:t>
      </w:r>
    </w:p>
    <w:p w14:paraId="75DA3BAD">
      <w:pPr>
        <w:spacing w:line="360" w:lineRule="auto"/>
        <w:jc w:val="center"/>
        <w:outlineLvl w:val="1"/>
        <w:rPr>
          <w:rFonts w:hint="eastAsia" w:ascii="仿宋" w:hAnsi="仿宋" w:eastAsia="仿宋" w:cs="仿宋"/>
          <w:b/>
          <w:bCs/>
          <w:sz w:val="24"/>
          <w:szCs w:val="24"/>
          <w:highlight w:val="none"/>
        </w:rPr>
      </w:pPr>
      <w:r>
        <w:rPr>
          <w:rFonts w:hint="eastAsia" w:ascii="仿宋" w:hAnsi="仿宋" w:eastAsia="仿宋" w:cs="仿宋"/>
          <w:b/>
          <w:sz w:val="24"/>
          <w:szCs w:val="24"/>
          <w:highlight w:val="none"/>
        </w:rPr>
        <w:t>三、响应文件</w:t>
      </w:r>
    </w:p>
    <w:p w14:paraId="3305B127">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16.</w:t>
      </w:r>
      <w:r>
        <w:rPr>
          <w:rFonts w:hint="eastAsia" w:ascii="仿宋" w:hAnsi="仿宋" w:eastAsia="仿宋" w:cs="仿宋"/>
          <w:b/>
          <w:sz w:val="24"/>
          <w:szCs w:val="24"/>
          <w:highlight w:val="none"/>
        </w:rPr>
        <w:t>响应文件</w:t>
      </w:r>
      <w:r>
        <w:rPr>
          <w:rFonts w:hint="eastAsia" w:ascii="仿宋" w:hAnsi="仿宋" w:eastAsia="仿宋" w:cs="仿宋"/>
          <w:b/>
          <w:bCs/>
          <w:sz w:val="24"/>
          <w:szCs w:val="24"/>
          <w:highlight w:val="none"/>
        </w:rPr>
        <w:t>的组成</w:t>
      </w:r>
    </w:p>
    <w:p w14:paraId="37002D85">
      <w:pPr>
        <w:spacing w:line="360" w:lineRule="auto"/>
        <w:ind w:firstLine="480" w:firstLineChars="200"/>
        <w:rPr>
          <w:rFonts w:hint="eastAsia" w:ascii="仿宋" w:hAnsi="仿宋" w:eastAsia="仿宋" w:cs="仿宋"/>
          <w:sz w:val="24"/>
          <w:szCs w:val="24"/>
          <w:highlight w:val="none"/>
        </w:rPr>
      </w:pPr>
      <w:bookmarkStart w:id="20" w:name="_Toc5008"/>
      <w:bookmarkEnd w:id="20"/>
      <w:bookmarkStart w:id="21" w:name="_Toc28"/>
      <w:bookmarkEnd w:id="21"/>
      <w:bookmarkStart w:id="22" w:name="_Toc25224"/>
      <w:r>
        <w:rPr>
          <w:rFonts w:hint="eastAsia" w:ascii="仿宋" w:hAnsi="仿宋" w:eastAsia="仿宋" w:cs="仿宋"/>
          <w:sz w:val="24"/>
          <w:szCs w:val="24"/>
          <w:highlight w:val="none"/>
        </w:rPr>
        <w:t>16.1</w:t>
      </w:r>
      <w:bookmarkEnd w:id="22"/>
      <w:r>
        <w:rPr>
          <w:rFonts w:hint="eastAsia" w:ascii="仿宋" w:hAnsi="仿宋" w:eastAsia="仿宋" w:cs="仿宋"/>
          <w:sz w:val="24"/>
          <w:szCs w:val="24"/>
          <w:highlight w:val="none"/>
        </w:rPr>
        <w:t xml:space="preserve"> 响应文件包括下列内容： </w:t>
      </w:r>
    </w:p>
    <w:p w14:paraId="33D58AA1">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一、磋商函</w:t>
      </w:r>
    </w:p>
    <w:p w14:paraId="28316DAA">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二、磋商函附录</w:t>
      </w:r>
    </w:p>
    <w:p w14:paraId="2434F4DE">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三、法定代表人资格证明书</w:t>
      </w:r>
    </w:p>
    <w:p w14:paraId="60491246">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四、法定代表人授权委托书</w:t>
      </w:r>
    </w:p>
    <w:p w14:paraId="41DEFBCA">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五、供应商资格审查资料</w:t>
      </w:r>
    </w:p>
    <w:p w14:paraId="4A68D133">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六、服务方案</w:t>
      </w:r>
    </w:p>
    <w:p w14:paraId="24239025">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七、服务承诺</w:t>
      </w:r>
    </w:p>
    <w:p w14:paraId="615EC634">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八、反商业贿赂承诺书</w:t>
      </w:r>
    </w:p>
    <w:p w14:paraId="3FFFC09B">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九、其它材料</w:t>
      </w:r>
    </w:p>
    <w:p w14:paraId="480E4015">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16.2供应商人在磋商过程</w:t>
      </w:r>
      <w:r>
        <w:rPr>
          <w:rFonts w:hint="eastAsia" w:ascii="仿宋" w:hAnsi="仿宋" w:eastAsia="仿宋" w:cs="仿宋"/>
          <w:spacing w:val="-2"/>
          <w:sz w:val="24"/>
          <w:szCs w:val="24"/>
          <w:highlight w:val="none"/>
        </w:rPr>
        <w:t>中</w:t>
      </w:r>
      <w:r>
        <w:rPr>
          <w:rFonts w:hint="eastAsia" w:ascii="仿宋" w:hAnsi="仿宋" w:eastAsia="仿宋" w:cs="仿宋"/>
          <w:sz w:val="24"/>
          <w:szCs w:val="24"/>
          <w:highlight w:val="none"/>
        </w:rPr>
        <w:t>作</w:t>
      </w:r>
      <w:r>
        <w:rPr>
          <w:rFonts w:hint="eastAsia" w:ascii="仿宋" w:hAnsi="仿宋" w:eastAsia="仿宋" w:cs="仿宋"/>
          <w:spacing w:val="-2"/>
          <w:sz w:val="24"/>
          <w:szCs w:val="24"/>
          <w:highlight w:val="none"/>
        </w:rPr>
        <w:t>出</w:t>
      </w:r>
      <w:r>
        <w:rPr>
          <w:rFonts w:hint="eastAsia" w:ascii="仿宋" w:hAnsi="仿宋" w:eastAsia="仿宋" w:cs="仿宋"/>
          <w:sz w:val="24"/>
          <w:szCs w:val="24"/>
          <w:highlight w:val="none"/>
        </w:rPr>
        <w:t>的符合法律法规和</w:t>
      </w:r>
      <w:r>
        <w:rPr>
          <w:rFonts w:hint="eastAsia" w:ascii="仿宋" w:hAnsi="仿宋" w:eastAsia="仿宋" w:cs="仿宋"/>
          <w:spacing w:val="-2"/>
          <w:sz w:val="24"/>
          <w:szCs w:val="24"/>
          <w:highlight w:val="none"/>
        </w:rPr>
        <w:t>磋商文件</w:t>
      </w:r>
      <w:r>
        <w:rPr>
          <w:rFonts w:hint="eastAsia" w:ascii="仿宋" w:hAnsi="仿宋" w:eastAsia="仿宋" w:cs="仿宋"/>
          <w:sz w:val="24"/>
          <w:szCs w:val="24"/>
          <w:highlight w:val="none"/>
        </w:rPr>
        <w:t>规定的澄清、说明、补正</w:t>
      </w:r>
      <w:r>
        <w:rPr>
          <w:rFonts w:hint="eastAsia" w:ascii="仿宋" w:hAnsi="仿宋" w:eastAsia="仿宋" w:cs="仿宋"/>
          <w:spacing w:val="-2"/>
          <w:sz w:val="24"/>
          <w:szCs w:val="24"/>
          <w:highlight w:val="none"/>
        </w:rPr>
        <w:t>，</w:t>
      </w:r>
      <w:r>
        <w:rPr>
          <w:rFonts w:hint="eastAsia" w:ascii="仿宋" w:hAnsi="仿宋" w:eastAsia="仿宋" w:cs="仿宋"/>
          <w:sz w:val="24"/>
          <w:szCs w:val="24"/>
          <w:highlight w:val="none"/>
        </w:rPr>
        <w:t>构</w:t>
      </w:r>
      <w:r>
        <w:rPr>
          <w:rFonts w:hint="eastAsia" w:ascii="仿宋" w:hAnsi="仿宋" w:eastAsia="仿宋" w:cs="仿宋"/>
          <w:spacing w:val="-2"/>
          <w:sz w:val="24"/>
          <w:szCs w:val="24"/>
          <w:highlight w:val="none"/>
        </w:rPr>
        <w:t>成</w:t>
      </w:r>
      <w:r>
        <w:rPr>
          <w:rFonts w:hint="eastAsia" w:ascii="仿宋" w:hAnsi="仿宋" w:eastAsia="仿宋" w:cs="仿宋"/>
          <w:sz w:val="24"/>
          <w:szCs w:val="24"/>
          <w:highlight w:val="none"/>
        </w:rPr>
        <w:t>响应文件的组成部</w:t>
      </w:r>
      <w:r>
        <w:rPr>
          <w:rFonts w:hint="eastAsia" w:ascii="仿宋" w:hAnsi="仿宋" w:eastAsia="仿宋" w:cs="仿宋"/>
          <w:spacing w:val="-2"/>
          <w:sz w:val="24"/>
          <w:szCs w:val="24"/>
          <w:highlight w:val="none"/>
        </w:rPr>
        <w:t>分</w:t>
      </w:r>
      <w:r>
        <w:rPr>
          <w:rFonts w:hint="eastAsia" w:ascii="仿宋" w:hAnsi="仿宋" w:eastAsia="仿宋" w:cs="仿宋"/>
          <w:sz w:val="24"/>
          <w:szCs w:val="24"/>
          <w:highlight w:val="none"/>
        </w:rPr>
        <w:t>。</w:t>
      </w:r>
    </w:p>
    <w:p w14:paraId="55C56A2B">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16.3论成交与否，供应商的响应文件不予退还。</w:t>
      </w:r>
    </w:p>
    <w:p w14:paraId="464F7D00">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17.报价</w:t>
      </w:r>
    </w:p>
    <w:p w14:paraId="5CBE9427">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17.1供应商应仔细阅读（含竞争性、澄清、修改和补充通知等），按照拟投标合同段的全部工程内容和提出的质量供货及安装期限等要求，以及有关规定编制磋商报价。</w:t>
      </w:r>
    </w:p>
    <w:p w14:paraId="3B46CF54">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17.2二轮报价（首轮报价（响应文件中的报价）、最终报价）。供应商的最后报价不得高于首次磋商报价。不提供最后报价的供应商将视为默认首次磋商报价。</w:t>
      </w:r>
    </w:p>
    <w:p w14:paraId="29594A98">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注：最终报价为通过资格和符合性评审的供应商在评标过程中所报价格。</w:t>
      </w:r>
    </w:p>
    <w:p w14:paraId="0F8677BE">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磋商报价包括本次采购范围内的所有费用，超出项目采购控制价的按无效标处理。</w:t>
      </w:r>
    </w:p>
    <w:p w14:paraId="7D2F0985">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注：供应商解密响应文件后应时刻关注网上招投标系统，磋商小组在初步评审结束后会通过系统通知通过初步评审的所有供应商进行最终报价，最终报价时间为30分钟，未在规定时间进行最终报价的供应商视为废标。</w:t>
      </w:r>
    </w:p>
    <w:p w14:paraId="73E4140E">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17.3响应文件中磋商报价部分以元为单位，当磋商报价大小写金额不一致时，以大写为准。</w:t>
      </w:r>
    </w:p>
    <w:p w14:paraId="1F417F1B">
      <w:pPr>
        <w:pStyle w:val="7"/>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18.资格审查资料</w:t>
      </w:r>
    </w:p>
    <w:p w14:paraId="2E4CEF95">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除供应商须知前附表另有规定外，供应商应按下列规定提供资格审查资料，以证明其满足本章第 5.1 款规定的资格条件和要求。</w:t>
      </w:r>
    </w:p>
    <w:p w14:paraId="35894F88">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18.1 “供应商基本情况表”具有独立承担民事责任的能力(提供有效的营业执照)。</w:t>
      </w:r>
    </w:p>
    <w:p w14:paraId="6F9B2974">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18.2 “财务状况报告”具有良好的商业信誉和健全的财务会计制度（详见供应商须知前附表）</w:t>
      </w:r>
    </w:p>
    <w:p w14:paraId="60D6DF15">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18.3依法缴纳税收和社会保障资金的相关材料（详见供应商须知前附表）。</w:t>
      </w:r>
    </w:p>
    <w:p w14:paraId="0170442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18.4具备履行合同所必需的设备和专业技术能力（提供承诺书，格式自拟）。</w:t>
      </w:r>
    </w:p>
    <w:p w14:paraId="6361B627">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18.5参加政府采购活动前3年内在经营活动中没有重大违法记录（提供承诺书，格式自拟）。</w:t>
      </w:r>
    </w:p>
    <w:p w14:paraId="41A3EBB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18.6供应商信息查询网页截图（详见供应商须知前附表）。</w:t>
      </w:r>
    </w:p>
    <w:p w14:paraId="5F9617C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18.7具备法律、行政法规规定的其他条件的证明材料。</w:t>
      </w:r>
    </w:p>
    <w:p w14:paraId="2087C98F">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18.8其他要求详见供应商须知前附表。</w:t>
      </w:r>
    </w:p>
    <w:p w14:paraId="41DB99B9">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19.保证金（不要求）</w:t>
      </w:r>
    </w:p>
    <w:p w14:paraId="324BF397">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20.响应文件的编制</w:t>
      </w:r>
    </w:p>
    <w:p w14:paraId="13F0FC18">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20.1响应文件应</w:t>
      </w:r>
      <w:r>
        <w:rPr>
          <w:rFonts w:hint="eastAsia" w:ascii="仿宋" w:hAnsi="仿宋" w:eastAsia="仿宋" w:cs="仿宋"/>
          <w:spacing w:val="-2"/>
          <w:sz w:val="24"/>
          <w:szCs w:val="24"/>
          <w:highlight w:val="none"/>
        </w:rPr>
        <w:t>按</w:t>
      </w:r>
      <w:r>
        <w:rPr>
          <w:rFonts w:hint="eastAsia" w:ascii="仿宋" w:hAnsi="仿宋" w:eastAsia="仿宋" w:cs="仿宋"/>
          <w:sz w:val="24"/>
          <w:szCs w:val="24"/>
          <w:highlight w:val="none"/>
        </w:rPr>
        <w:t>第</w:t>
      </w:r>
      <w:r>
        <w:rPr>
          <w:rFonts w:hint="eastAsia" w:ascii="仿宋" w:hAnsi="仿宋" w:eastAsia="仿宋" w:cs="仿宋"/>
          <w:spacing w:val="-2"/>
          <w:sz w:val="24"/>
          <w:szCs w:val="24"/>
          <w:highlight w:val="none"/>
        </w:rPr>
        <w:t>六章</w:t>
      </w:r>
      <w:r>
        <w:rPr>
          <w:rFonts w:hint="eastAsia" w:ascii="仿宋" w:hAnsi="仿宋" w:eastAsia="仿宋" w:cs="仿宋"/>
          <w:sz w:val="24"/>
          <w:szCs w:val="24"/>
          <w:highlight w:val="none"/>
        </w:rPr>
        <w:t>“响应文</w:t>
      </w:r>
      <w:r>
        <w:rPr>
          <w:rFonts w:hint="eastAsia" w:ascii="仿宋" w:hAnsi="仿宋" w:eastAsia="仿宋" w:cs="仿宋"/>
          <w:spacing w:val="-2"/>
          <w:sz w:val="24"/>
          <w:szCs w:val="24"/>
          <w:highlight w:val="none"/>
        </w:rPr>
        <w:t>件</w:t>
      </w:r>
      <w:r>
        <w:rPr>
          <w:rFonts w:hint="eastAsia" w:ascii="仿宋" w:hAnsi="仿宋" w:eastAsia="仿宋" w:cs="仿宋"/>
          <w:sz w:val="24"/>
          <w:szCs w:val="24"/>
          <w:highlight w:val="none"/>
        </w:rPr>
        <w:t>格式</w:t>
      </w:r>
      <w:r>
        <w:rPr>
          <w:rFonts w:hint="eastAsia" w:ascii="仿宋" w:hAnsi="仿宋" w:eastAsia="仿宋" w:cs="仿宋"/>
          <w:spacing w:val="-3"/>
          <w:sz w:val="24"/>
          <w:szCs w:val="24"/>
          <w:highlight w:val="none"/>
        </w:rPr>
        <w:t>”</w:t>
      </w:r>
      <w:r>
        <w:rPr>
          <w:rFonts w:hint="eastAsia" w:ascii="仿宋" w:hAnsi="仿宋" w:eastAsia="仿宋" w:cs="仿宋"/>
          <w:sz w:val="24"/>
          <w:szCs w:val="24"/>
          <w:highlight w:val="none"/>
        </w:rPr>
        <w:t>进</w:t>
      </w:r>
      <w:r>
        <w:rPr>
          <w:rFonts w:hint="eastAsia" w:ascii="仿宋" w:hAnsi="仿宋" w:eastAsia="仿宋" w:cs="仿宋"/>
          <w:spacing w:val="-2"/>
          <w:sz w:val="24"/>
          <w:szCs w:val="24"/>
          <w:highlight w:val="none"/>
        </w:rPr>
        <w:t>行</w:t>
      </w:r>
      <w:r>
        <w:rPr>
          <w:rFonts w:hint="eastAsia" w:ascii="仿宋" w:hAnsi="仿宋" w:eastAsia="仿宋" w:cs="仿宋"/>
          <w:sz w:val="24"/>
          <w:szCs w:val="24"/>
          <w:highlight w:val="none"/>
        </w:rPr>
        <w:t>编</w:t>
      </w:r>
      <w:r>
        <w:rPr>
          <w:rFonts w:hint="eastAsia" w:ascii="仿宋" w:hAnsi="仿宋" w:eastAsia="仿宋" w:cs="仿宋"/>
          <w:spacing w:val="-2"/>
          <w:sz w:val="24"/>
          <w:szCs w:val="24"/>
          <w:highlight w:val="none"/>
        </w:rPr>
        <w:t>写</w:t>
      </w:r>
      <w:r>
        <w:rPr>
          <w:rFonts w:hint="eastAsia" w:ascii="仿宋" w:hAnsi="仿宋" w:eastAsia="仿宋" w:cs="仿宋"/>
          <w:spacing w:val="-17"/>
          <w:sz w:val="24"/>
          <w:szCs w:val="24"/>
          <w:highlight w:val="none"/>
        </w:rPr>
        <w:t>，</w:t>
      </w:r>
      <w:r>
        <w:rPr>
          <w:rFonts w:hint="eastAsia" w:ascii="仿宋" w:hAnsi="仿宋" w:eastAsia="仿宋" w:cs="仿宋"/>
          <w:spacing w:val="-2"/>
          <w:sz w:val="24"/>
          <w:szCs w:val="24"/>
          <w:highlight w:val="none"/>
        </w:rPr>
        <w:t>如</w:t>
      </w:r>
      <w:r>
        <w:rPr>
          <w:rFonts w:hint="eastAsia" w:ascii="仿宋" w:hAnsi="仿宋" w:eastAsia="仿宋" w:cs="仿宋"/>
          <w:sz w:val="24"/>
          <w:szCs w:val="24"/>
          <w:highlight w:val="none"/>
        </w:rPr>
        <w:t>有</w:t>
      </w:r>
      <w:r>
        <w:rPr>
          <w:rFonts w:hint="eastAsia" w:ascii="仿宋" w:hAnsi="仿宋" w:eastAsia="仿宋" w:cs="仿宋"/>
          <w:spacing w:val="-2"/>
          <w:sz w:val="24"/>
          <w:szCs w:val="24"/>
          <w:highlight w:val="none"/>
        </w:rPr>
        <w:t>必</w:t>
      </w:r>
      <w:r>
        <w:rPr>
          <w:rFonts w:hint="eastAsia" w:ascii="仿宋" w:hAnsi="仿宋" w:eastAsia="仿宋" w:cs="仿宋"/>
          <w:sz w:val="24"/>
          <w:szCs w:val="24"/>
          <w:highlight w:val="none"/>
        </w:rPr>
        <w:t>要</w:t>
      </w:r>
      <w:r>
        <w:rPr>
          <w:rFonts w:hint="eastAsia" w:ascii="仿宋" w:hAnsi="仿宋" w:eastAsia="仿宋" w:cs="仿宋"/>
          <w:spacing w:val="-19"/>
          <w:sz w:val="24"/>
          <w:szCs w:val="24"/>
          <w:highlight w:val="none"/>
        </w:rPr>
        <w:t>，</w:t>
      </w:r>
      <w:r>
        <w:rPr>
          <w:rFonts w:hint="eastAsia" w:ascii="仿宋" w:hAnsi="仿宋" w:eastAsia="仿宋" w:cs="仿宋"/>
          <w:sz w:val="24"/>
          <w:szCs w:val="24"/>
          <w:highlight w:val="none"/>
        </w:rPr>
        <w:t>可</w:t>
      </w:r>
      <w:r>
        <w:rPr>
          <w:rFonts w:hint="eastAsia" w:ascii="仿宋" w:hAnsi="仿宋" w:eastAsia="仿宋" w:cs="仿宋"/>
          <w:spacing w:val="-2"/>
          <w:sz w:val="24"/>
          <w:szCs w:val="24"/>
          <w:highlight w:val="none"/>
        </w:rPr>
        <w:t>以</w:t>
      </w:r>
      <w:r>
        <w:rPr>
          <w:rFonts w:hint="eastAsia" w:ascii="仿宋" w:hAnsi="仿宋" w:eastAsia="仿宋" w:cs="仿宋"/>
          <w:sz w:val="24"/>
          <w:szCs w:val="24"/>
          <w:highlight w:val="none"/>
        </w:rPr>
        <w:t>增</w:t>
      </w:r>
      <w:r>
        <w:rPr>
          <w:rFonts w:hint="eastAsia" w:ascii="仿宋" w:hAnsi="仿宋" w:eastAsia="仿宋" w:cs="仿宋"/>
          <w:spacing w:val="-2"/>
          <w:sz w:val="24"/>
          <w:szCs w:val="24"/>
          <w:highlight w:val="none"/>
        </w:rPr>
        <w:t>加附</w:t>
      </w:r>
      <w:r>
        <w:rPr>
          <w:rFonts w:hint="eastAsia" w:ascii="仿宋" w:hAnsi="仿宋" w:eastAsia="仿宋" w:cs="仿宋"/>
          <w:sz w:val="24"/>
          <w:szCs w:val="24"/>
          <w:highlight w:val="none"/>
        </w:rPr>
        <w:t>页</w:t>
      </w:r>
      <w:r>
        <w:rPr>
          <w:rFonts w:hint="eastAsia" w:ascii="仿宋" w:hAnsi="仿宋" w:eastAsia="仿宋" w:cs="仿宋"/>
          <w:spacing w:val="-19"/>
          <w:sz w:val="24"/>
          <w:szCs w:val="24"/>
          <w:highlight w:val="none"/>
        </w:rPr>
        <w:t>，</w:t>
      </w:r>
      <w:r>
        <w:rPr>
          <w:rFonts w:hint="eastAsia" w:ascii="仿宋" w:hAnsi="仿宋" w:eastAsia="仿宋" w:cs="仿宋"/>
          <w:sz w:val="24"/>
          <w:szCs w:val="24"/>
          <w:highlight w:val="none"/>
        </w:rPr>
        <w:t>作</w:t>
      </w:r>
      <w:r>
        <w:rPr>
          <w:rFonts w:hint="eastAsia" w:ascii="仿宋" w:hAnsi="仿宋" w:eastAsia="仿宋" w:cs="仿宋"/>
          <w:spacing w:val="-2"/>
          <w:sz w:val="24"/>
          <w:szCs w:val="24"/>
          <w:highlight w:val="none"/>
        </w:rPr>
        <w:t>为</w:t>
      </w:r>
      <w:r>
        <w:rPr>
          <w:rFonts w:hint="eastAsia" w:ascii="仿宋" w:hAnsi="仿宋" w:eastAsia="仿宋" w:cs="仿宋"/>
          <w:sz w:val="24"/>
          <w:szCs w:val="24"/>
          <w:highlight w:val="none"/>
        </w:rPr>
        <w:t>响应文件</w:t>
      </w:r>
      <w:r>
        <w:rPr>
          <w:rFonts w:hint="eastAsia" w:ascii="仿宋" w:hAnsi="仿宋" w:eastAsia="仿宋" w:cs="仿宋"/>
          <w:spacing w:val="-2"/>
          <w:sz w:val="24"/>
          <w:szCs w:val="24"/>
          <w:highlight w:val="none"/>
        </w:rPr>
        <w:t>的</w:t>
      </w:r>
      <w:r>
        <w:rPr>
          <w:rFonts w:hint="eastAsia" w:ascii="仿宋" w:hAnsi="仿宋" w:eastAsia="仿宋" w:cs="仿宋"/>
          <w:sz w:val="24"/>
          <w:szCs w:val="24"/>
          <w:highlight w:val="none"/>
        </w:rPr>
        <w:t>组</w:t>
      </w:r>
      <w:r>
        <w:rPr>
          <w:rFonts w:hint="eastAsia" w:ascii="仿宋" w:hAnsi="仿宋" w:eastAsia="仿宋" w:cs="仿宋"/>
          <w:spacing w:val="-2"/>
          <w:sz w:val="24"/>
          <w:szCs w:val="24"/>
          <w:highlight w:val="none"/>
        </w:rPr>
        <w:t>成</w:t>
      </w:r>
      <w:r>
        <w:rPr>
          <w:rFonts w:hint="eastAsia" w:ascii="仿宋" w:hAnsi="仿宋" w:eastAsia="仿宋" w:cs="仿宋"/>
          <w:sz w:val="24"/>
          <w:szCs w:val="24"/>
          <w:highlight w:val="none"/>
        </w:rPr>
        <w:t>部</w:t>
      </w:r>
      <w:r>
        <w:rPr>
          <w:rFonts w:hint="eastAsia" w:ascii="仿宋" w:hAnsi="仿宋" w:eastAsia="仿宋" w:cs="仿宋"/>
          <w:spacing w:val="-2"/>
          <w:sz w:val="24"/>
          <w:szCs w:val="24"/>
          <w:highlight w:val="none"/>
        </w:rPr>
        <w:t>分</w:t>
      </w:r>
      <w:r>
        <w:rPr>
          <w:rFonts w:hint="eastAsia" w:ascii="仿宋" w:hAnsi="仿宋" w:eastAsia="仿宋" w:cs="仿宋"/>
          <w:sz w:val="24"/>
          <w:szCs w:val="24"/>
          <w:highlight w:val="none"/>
        </w:rPr>
        <w:t>。</w:t>
      </w:r>
    </w:p>
    <w:p w14:paraId="29D3E811">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20.2供应商应当按照磋商文件的要求编制响应文件，并对其提交的响应文件的真实性、合法性承担法律责任。响应文件应当对磋商文件提出的要求和条件作出明确响应。</w:t>
      </w:r>
    </w:p>
    <w:p w14:paraId="1FE468B0">
      <w:pPr>
        <w:pStyle w:val="7"/>
        <w:spacing w:line="360" w:lineRule="auto"/>
        <w:ind w:firstLine="480" w:firstLineChars="200"/>
        <w:rPr>
          <w:rFonts w:hint="eastAsia" w:ascii="仿宋" w:hAnsi="仿宋" w:eastAsia="仿宋" w:cs="仿宋"/>
          <w:b/>
          <w:sz w:val="24"/>
          <w:szCs w:val="24"/>
          <w:highlight w:val="none"/>
        </w:rPr>
      </w:pPr>
      <w:r>
        <w:rPr>
          <w:rFonts w:hint="eastAsia" w:ascii="仿宋" w:hAnsi="仿宋" w:eastAsia="仿宋" w:cs="仿宋"/>
          <w:sz w:val="24"/>
          <w:szCs w:val="24"/>
          <w:highlight w:val="none"/>
        </w:rPr>
        <w:t>20.3响应文件全部采用电子文档，除供应商须知前附表另有规定外，响应文件所附证书证件均为原件扫描件，并采用单位和个人数字证书，按磋商文件要求在相应位置加盖电子签章。由供应商的法定代表人签字或加盖电子签章的，应附法定代表人（单位负责人）身份证明，由代理人签字或加盖电子签章的，应附由法定代表人签署的授权委托书。签字或盖章的具体要求见供应商须知前附表。</w:t>
      </w:r>
      <w:bookmarkStart w:id="23" w:name="_Toc28999"/>
      <w:bookmarkEnd w:id="23"/>
    </w:p>
    <w:p w14:paraId="1FBFD6F4">
      <w:pPr>
        <w:spacing w:line="360" w:lineRule="auto"/>
        <w:jc w:val="center"/>
        <w:outlineLvl w:val="1"/>
        <w:rPr>
          <w:rFonts w:hint="eastAsia" w:ascii="仿宋" w:hAnsi="仿宋" w:eastAsia="仿宋" w:cs="仿宋"/>
          <w:b/>
          <w:sz w:val="24"/>
          <w:szCs w:val="24"/>
          <w:highlight w:val="none"/>
        </w:rPr>
      </w:pPr>
      <w:bookmarkStart w:id="24" w:name="_Toc5959954"/>
      <w:bookmarkEnd w:id="24"/>
      <w:r>
        <w:rPr>
          <w:rFonts w:hint="eastAsia" w:ascii="仿宋" w:hAnsi="仿宋" w:eastAsia="仿宋" w:cs="仿宋"/>
          <w:b/>
          <w:sz w:val="24"/>
          <w:szCs w:val="24"/>
          <w:highlight w:val="none"/>
        </w:rPr>
        <w:t>四、响应文件的递交</w:t>
      </w:r>
    </w:p>
    <w:p w14:paraId="4E9866F2">
      <w:pP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21.</w:t>
      </w:r>
      <w:r>
        <w:rPr>
          <w:rFonts w:hint="eastAsia" w:ascii="仿宋" w:hAnsi="仿宋" w:eastAsia="仿宋" w:cs="仿宋"/>
          <w:b/>
          <w:sz w:val="24"/>
          <w:szCs w:val="24"/>
          <w:highlight w:val="none"/>
        </w:rPr>
        <w:t>响应文件</w:t>
      </w:r>
      <w:r>
        <w:rPr>
          <w:rFonts w:hint="eastAsia" w:ascii="仿宋" w:hAnsi="仿宋" w:eastAsia="仿宋" w:cs="仿宋"/>
          <w:b/>
          <w:bCs/>
          <w:sz w:val="24"/>
          <w:szCs w:val="24"/>
          <w:highlight w:val="none"/>
        </w:rPr>
        <w:t>的密封和标记</w:t>
      </w:r>
    </w:p>
    <w:p w14:paraId="645546F2">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21.1 供应商应当按照磋商文件和电子招标投标交易平台的要求加密响应文件，具体要求见供应商须知前附表。</w:t>
      </w:r>
    </w:p>
    <w:p w14:paraId="26278083">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22.响应文件的递交</w:t>
      </w:r>
    </w:p>
    <w:p w14:paraId="7ACC65B1">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22.1供应商应当在供应商须知前附表规定的提交响应文件截止时间前，</w:t>
      </w:r>
      <w:r>
        <w:rPr>
          <w:rStyle w:val="33"/>
          <w:rFonts w:hint="eastAsia" w:ascii="仿宋" w:hAnsi="仿宋" w:eastAsia="仿宋" w:cs="仿宋"/>
          <w:b/>
          <w:sz w:val="24"/>
          <w:szCs w:val="24"/>
          <w:highlight w:val="none"/>
        </w:rPr>
        <w:t>通过下载磋商文件的电子招标投标交易平台递交电子响应文件</w:t>
      </w:r>
      <w:r>
        <w:rPr>
          <w:rFonts w:hint="eastAsia" w:ascii="仿宋" w:hAnsi="仿宋" w:eastAsia="仿宋" w:cs="仿宋"/>
          <w:sz w:val="24"/>
          <w:szCs w:val="24"/>
          <w:highlight w:val="none"/>
        </w:rPr>
        <w:t>,供应商</w:t>
      </w:r>
      <w:r>
        <w:rPr>
          <w:rFonts w:hint="eastAsia" w:ascii="仿宋" w:hAnsi="仿宋" w:eastAsia="仿宋" w:cs="仿宋"/>
          <w:spacing w:val="-2"/>
          <w:sz w:val="24"/>
          <w:szCs w:val="24"/>
          <w:highlight w:val="none"/>
        </w:rPr>
        <w:t>完</w:t>
      </w:r>
      <w:r>
        <w:rPr>
          <w:rFonts w:hint="eastAsia" w:ascii="仿宋" w:hAnsi="仿宋" w:eastAsia="仿宋" w:cs="仿宋"/>
          <w:sz w:val="24"/>
          <w:szCs w:val="24"/>
          <w:highlight w:val="none"/>
        </w:rPr>
        <w:t>成</w:t>
      </w:r>
      <w:r>
        <w:rPr>
          <w:rFonts w:hint="eastAsia" w:ascii="仿宋" w:hAnsi="仿宋" w:eastAsia="仿宋" w:cs="仿宋"/>
          <w:spacing w:val="-2"/>
          <w:sz w:val="24"/>
          <w:szCs w:val="24"/>
          <w:highlight w:val="none"/>
        </w:rPr>
        <w:t>电</w:t>
      </w:r>
      <w:r>
        <w:rPr>
          <w:rFonts w:hint="eastAsia" w:ascii="仿宋" w:hAnsi="仿宋" w:eastAsia="仿宋" w:cs="仿宋"/>
          <w:sz w:val="24"/>
          <w:szCs w:val="24"/>
          <w:highlight w:val="none"/>
        </w:rPr>
        <w:t>子响应文</w:t>
      </w:r>
      <w:r>
        <w:rPr>
          <w:rFonts w:hint="eastAsia" w:ascii="仿宋" w:hAnsi="仿宋" w:eastAsia="仿宋" w:cs="仿宋"/>
          <w:spacing w:val="-2"/>
          <w:sz w:val="24"/>
          <w:szCs w:val="24"/>
          <w:highlight w:val="none"/>
        </w:rPr>
        <w:t>件</w:t>
      </w:r>
      <w:r>
        <w:rPr>
          <w:rFonts w:hint="eastAsia" w:ascii="仿宋" w:hAnsi="仿宋" w:eastAsia="仿宋" w:cs="仿宋"/>
          <w:sz w:val="24"/>
          <w:szCs w:val="24"/>
          <w:highlight w:val="none"/>
        </w:rPr>
        <w:t>上</w:t>
      </w:r>
      <w:r>
        <w:rPr>
          <w:rFonts w:hint="eastAsia" w:ascii="仿宋" w:hAnsi="仿宋" w:eastAsia="仿宋" w:cs="仿宋"/>
          <w:spacing w:val="-2"/>
          <w:sz w:val="24"/>
          <w:szCs w:val="24"/>
          <w:highlight w:val="none"/>
        </w:rPr>
        <w:t>传</w:t>
      </w:r>
      <w:r>
        <w:rPr>
          <w:rFonts w:hint="eastAsia" w:ascii="仿宋" w:hAnsi="仿宋" w:eastAsia="仿宋" w:cs="仿宋"/>
          <w:sz w:val="24"/>
          <w:szCs w:val="24"/>
          <w:highlight w:val="none"/>
        </w:rPr>
        <w:t>。</w:t>
      </w:r>
    </w:p>
    <w:p w14:paraId="5FA065E5">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22.2</w:t>
      </w:r>
      <w:r>
        <w:rPr>
          <w:rStyle w:val="33"/>
          <w:rFonts w:hint="eastAsia" w:ascii="仿宋" w:hAnsi="仿宋" w:eastAsia="仿宋" w:cs="仿宋"/>
          <w:b/>
          <w:sz w:val="24"/>
          <w:szCs w:val="24"/>
          <w:highlight w:val="none"/>
        </w:rPr>
        <w:t>供应商通过下载磋商文件的电子招标投标交易平台递交电子响应文件。</w:t>
      </w:r>
    </w:p>
    <w:p w14:paraId="11758BCE">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22.3在截止时间后送达的响应文件为无效文件，</w:t>
      </w:r>
      <w:r>
        <w:rPr>
          <w:rStyle w:val="33"/>
          <w:rFonts w:hint="eastAsia" w:ascii="仿宋" w:hAnsi="仿宋" w:eastAsia="仿宋" w:cs="仿宋"/>
          <w:b/>
          <w:sz w:val="24"/>
          <w:szCs w:val="24"/>
          <w:highlight w:val="none"/>
        </w:rPr>
        <w:t>电子招标投标交易平台将予以拒收。</w:t>
      </w:r>
    </w:p>
    <w:p w14:paraId="184AAD2C">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23.响应文件的</w:t>
      </w:r>
      <w:r>
        <w:rPr>
          <w:rFonts w:hint="eastAsia" w:ascii="仿宋" w:hAnsi="仿宋" w:eastAsia="仿宋" w:cs="仿宋"/>
          <w:b/>
          <w:sz w:val="24"/>
          <w:szCs w:val="24"/>
          <w:highlight w:val="none"/>
        </w:rPr>
        <w:t>补充、修改或者撤回</w:t>
      </w:r>
    </w:p>
    <w:p w14:paraId="40C0C761">
      <w:pPr>
        <w:pStyle w:val="7"/>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23.1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14:paraId="2F0B687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23.2供应商补充、修改或撤回已递交响应文件的通知，应按照本章第 20.3项的要求加盖电子签章。电子招标投标交易平台收到通知后，即时向供应商发出确认回执通知。</w:t>
      </w:r>
    </w:p>
    <w:p w14:paraId="4F6AF90C">
      <w:pP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24.供应商信用记录查询</w:t>
      </w:r>
      <w:r>
        <w:rPr>
          <w:rFonts w:hint="eastAsia" w:ascii="仿宋" w:hAnsi="仿宋" w:eastAsia="仿宋" w:cs="仿宋"/>
          <w:sz w:val="24"/>
          <w:szCs w:val="24"/>
          <w:highlight w:val="none"/>
        </w:rPr>
        <w:t>（详见供应商须知前附表）</w:t>
      </w:r>
    </w:p>
    <w:p w14:paraId="1C5D5A5B">
      <w:pPr>
        <w:spacing w:line="360" w:lineRule="auto"/>
        <w:jc w:val="center"/>
        <w:outlineLvl w:val="1"/>
        <w:rPr>
          <w:rFonts w:hint="eastAsia" w:ascii="仿宋" w:hAnsi="仿宋" w:eastAsia="仿宋" w:cs="仿宋"/>
          <w:b/>
          <w:sz w:val="24"/>
          <w:szCs w:val="24"/>
          <w:highlight w:val="none"/>
        </w:rPr>
      </w:pPr>
      <w:bookmarkStart w:id="25" w:name="_Toc22709"/>
      <w:bookmarkEnd w:id="25"/>
      <w:bookmarkStart w:id="26" w:name="_Toc5959955"/>
      <w:r>
        <w:rPr>
          <w:rFonts w:hint="eastAsia" w:ascii="仿宋" w:hAnsi="仿宋" w:eastAsia="仿宋" w:cs="仿宋"/>
          <w:b/>
          <w:sz w:val="24"/>
          <w:szCs w:val="24"/>
          <w:highlight w:val="none"/>
        </w:rPr>
        <w:t>五、</w:t>
      </w:r>
      <w:bookmarkEnd w:id="26"/>
      <w:r>
        <w:rPr>
          <w:rFonts w:hint="eastAsia" w:ascii="仿宋" w:hAnsi="仿宋" w:eastAsia="仿宋" w:cs="仿宋"/>
          <w:b/>
          <w:sz w:val="24"/>
          <w:szCs w:val="24"/>
          <w:highlight w:val="none"/>
        </w:rPr>
        <w:t>评标办法</w:t>
      </w:r>
    </w:p>
    <w:p w14:paraId="5A9E1302">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25.竞争性磋商小组</w:t>
      </w:r>
    </w:p>
    <w:p w14:paraId="4246D812">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25.1竞争性磋商小组由采购人代表和评审专家共3人以上单数组成，其中评审专家人数不得少于竞争性磋商小组或者询价小组成员总数的2/3。采购人不得以评审专家身份参加本部门或本单位采购项目的评审。采购代理机构人员不得参加本机构代理的采购项目的评审。</w:t>
      </w:r>
    </w:p>
    <w:p w14:paraId="031CDDE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25.2采用竞争性磋商方式采购的政府采购项目，评审专家应当从省级相关专家库中随机抽取。</w:t>
      </w:r>
    </w:p>
    <w:p w14:paraId="5637FBF6">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25.3磋商小组成员人数</w:t>
      </w:r>
      <w:r>
        <w:rPr>
          <w:rFonts w:hint="eastAsia" w:ascii="仿宋" w:hAnsi="仿宋" w:eastAsia="仿宋" w:cs="仿宋"/>
          <w:spacing w:val="-2"/>
          <w:sz w:val="24"/>
          <w:szCs w:val="24"/>
          <w:highlight w:val="none"/>
        </w:rPr>
        <w:t>以</w:t>
      </w:r>
      <w:r>
        <w:rPr>
          <w:rFonts w:hint="eastAsia" w:ascii="仿宋" w:hAnsi="仿宋" w:eastAsia="仿宋" w:cs="仿宋"/>
          <w:sz w:val="24"/>
          <w:szCs w:val="24"/>
          <w:highlight w:val="none"/>
        </w:rPr>
        <w:t>及技术</w:t>
      </w:r>
      <w:r>
        <w:rPr>
          <w:rFonts w:hint="eastAsia" w:ascii="仿宋" w:hAnsi="仿宋" w:eastAsia="仿宋" w:cs="仿宋"/>
          <w:spacing w:val="-2"/>
          <w:sz w:val="24"/>
          <w:szCs w:val="24"/>
          <w:highlight w:val="none"/>
        </w:rPr>
        <w:t>、</w:t>
      </w:r>
      <w:r>
        <w:rPr>
          <w:rFonts w:hint="eastAsia" w:ascii="仿宋" w:hAnsi="仿宋" w:eastAsia="仿宋" w:cs="仿宋"/>
          <w:sz w:val="24"/>
          <w:szCs w:val="24"/>
          <w:highlight w:val="none"/>
        </w:rPr>
        <w:t>经</w:t>
      </w:r>
      <w:r>
        <w:rPr>
          <w:rFonts w:hint="eastAsia" w:ascii="仿宋" w:hAnsi="仿宋" w:eastAsia="仿宋" w:cs="仿宋"/>
          <w:spacing w:val="-2"/>
          <w:sz w:val="24"/>
          <w:szCs w:val="24"/>
          <w:highlight w:val="none"/>
        </w:rPr>
        <w:t>济</w:t>
      </w:r>
      <w:r>
        <w:rPr>
          <w:rFonts w:hint="eastAsia" w:ascii="仿宋" w:hAnsi="仿宋" w:eastAsia="仿宋" w:cs="仿宋"/>
          <w:sz w:val="24"/>
          <w:szCs w:val="24"/>
          <w:highlight w:val="none"/>
        </w:rPr>
        <w:t>等</w:t>
      </w:r>
      <w:r>
        <w:rPr>
          <w:rFonts w:hint="eastAsia" w:ascii="仿宋" w:hAnsi="仿宋" w:eastAsia="仿宋" w:cs="仿宋"/>
          <w:spacing w:val="-2"/>
          <w:sz w:val="24"/>
          <w:szCs w:val="24"/>
          <w:highlight w:val="none"/>
        </w:rPr>
        <w:t>方</w:t>
      </w:r>
      <w:r>
        <w:rPr>
          <w:rFonts w:hint="eastAsia" w:ascii="仿宋" w:hAnsi="仿宋" w:eastAsia="仿宋" w:cs="仿宋"/>
          <w:sz w:val="24"/>
          <w:szCs w:val="24"/>
          <w:highlight w:val="none"/>
        </w:rPr>
        <w:t>面</w:t>
      </w:r>
      <w:r>
        <w:rPr>
          <w:rFonts w:hint="eastAsia" w:ascii="仿宋" w:hAnsi="仿宋" w:eastAsia="仿宋" w:cs="仿宋"/>
          <w:spacing w:val="-2"/>
          <w:sz w:val="24"/>
          <w:szCs w:val="24"/>
          <w:highlight w:val="none"/>
        </w:rPr>
        <w:t>专</w:t>
      </w:r>
      <w:r>
        <w:rPr>
          <w:rFonts w:hint="eastAsia" w:ascii="仿宋" w:hAnsi="仿宋" w:eastAsia="仿宋" w:cs="仿宋"/>
          <w:sz w:val="24"/>
          <w:szCs w:val="24"/>
          <w:highlight w:val="none"/>
        </w:rPr>
        <w:t>家</w:t>
      </w:r>
      <w:r>
        <w:rPr>
          <w:rFonts w:hint="eastAsia" w:ascii="仿宋" w:hAnsi="仿宋" w:eastAsia="仿宋" w:cs="仿宋"/>
          <w:spacing w:val="-2"/>
          <w:sz w:val="24"/>
          <w:szCs w:val="24"/>
          <w:highlight w:val="none"/>
        </w:rPr>
        <w:t>的</w:t>
      </w:r>
      <w:r>
        <w:rPr>
          <w:rFonts w:hint="eastAsia" w:ascii="仿宋" w:hAnsi="仿宋" w:eastAsia="仿宋" w:cs="仿宋"/>
          <w:sz w:val="24"/>
          <w:szCs w:val="24"/>
          <w:highlight w:val="none"/>
        </w:rPr>
        <w:t>确定</w:t>
      </w:r>
      <w:r>
        <w:rPr>
          <w:rFonts w:hint="eastAsia" w:ascii="仿宋" w:hAnsi="仿宋" w:eastAsia="仿宋" w:cs="仿宋"/>
          <w:spacing w:val="-2"/>
          <w:sz w:val="24"/>
          <w:szCs w:val="24"/>
          <w:highlight w:val="none"/>
        </w:rPr>
        <w:t>方</w:t>
      </w:r>
      <w:r>
        <w:rPr>
          <w:rFonts w:hint="eastAsia" w:ascii="仿宋" w:hAnsi="仿宋" w:eastAsia="仿宋" w:cs="仿宋"/>
          <w:sz w:val="24"/>
          <w:szCs w:val="24"/>
          <w:highlight w:val="none"/>
        </w:rPr>
        <w:t>式</w:t>
      </w:r>
      <w:r>
        <w:rPr>
          <w:rFonts w:hint="eastAsia" w:ascii="仿宋" w:hAnsi="仿宋" w:eastAsia="仿宋" w:cs="仿宋"/>
          <w:spacing w:val="-2"/>
          <w:sz w:val="24"/>
          <w:szCs w:val="24"/>
          <w:highlight w:val="none"/>
        </w:rPr>
        <w:t>见</w:t>
      </w:r>
      <w:r>
        <w:rPr>
          <w:rFonts w:hint="eastAsia" w:ascii="仿宋" w:hAnsi="仿宋" w:eastAsia="仿宋" w:cs="仿宋"/>
          <w:sz w:val="24"/>
          <w:szCs w:val="24"/>
          <w:highlight w:val="none"/>
        </w:rPr>
        <w:t>供应商</w:t>
      </w:r>
      <w:r>
        <w:rPr>
          <w:rFonts w:hint="eastAsia" w:ascii="仿宋" w:hAnsi="仿宋" w:eastAsia="仿宋" w:cs="仿宋"/>
          <w:spacing w:val="-2"/>
          <w:sz w:val="24"/>
          <w:szCs w:val="24"/>
          <w:highlight w:val="none"/>
        </w:rPr>
        <w:t>须</w:t>
      </w:r>
      <w:r>
        <w:rPr>
          <w:rFonts w:hint="eastAsia" w:ascii="仿宋" w:hAnsi="仿宋" w:eastAsia="仿宋" w:cs="仿宋"/>
          <w:sz w:val="24"/>
          <w:szCs w:val="24"/>
          <w:highlight w:val="none"/>
        </w:rPr>
        <w:t>知</w:t>
      </w:r>
      <w:r>
        <w:rPr>
          <w:rFonts w:hint="eastAsia" w:ascii="仿宋" w:hAnsi="仿宋" w:eastAsia="仿宋" w:cs="仿宋"/>
          <w:spacing w:val="-2"/>
          <w:sz w:val="24"/>
          <w:szCs w:val="24"/>
          <w:highlight w:val="none"/>
        </w:rPr>
        <w:t>前</w:t>
      </w:r>
      <w:r>
        <w:rPr>
          <w:rFonts w:hint="eastAsia" w:ascii="仿宋" w:hAnsi="仿宋" w:eastAsia="仿宋" w:cs="仿宋"/>
          <w:sz w:val="24"/>
          <w:szCs w:val="24"/>
          <w:highlight w:val="none"/>
        </w:rPr>
        <w:t>附表。</w:t>
      </w:r>
    </w:p>
    <w:p w14:paraId="6E9E55AA">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25.4竞争性磋商小组在采购活动过程中应当履行下列职责：</w:t>
      </w:r>
    </w:p>
    <w:p w14:paraId="1A323E07">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（1）从符合相应资格条件的供应商名单中确定不少于3家的供应商参加磋商；</w:t>
      </w:r>
    </w:p>
    <w:p w14:paraId="2663DCE6">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（2）审查供应商的响应文件并作出评价；</w:t>
      </w:r>
    </w:p>
    <w:p w14:paraId="6B7D8178">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（3）要求供应商解释或者澄清其响应文件；</w:t>
      </w:r>
    </w:p>
    <w:p w14:paraId="56F1E925">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（4）编写评审报告；</w:t>
      </w:r>
    </w:p>
    <w:p w14:paraId="0CED7FFB">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（5）告知采购人、采购代理机构在评审过程中发现的供应商的违法违规行为。</w:t>
      </w:r>
    </w:p>
    <w:p w14:paraId="3A9C7B39">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25.5竞争性磋商小组成员应当履行下列义务：</w:t>
      </w:r>
    </w:p>
    <w:p w14:paraId="4C380423">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（1）遵纪守法，客观、公正、廉洁地履行职责；</w:t>
      </w:r>
    </w:p>
    <w:p w14:paraId="5A4BD8EC">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（2）根据采购文件的规定独立进行评审，对个人的评审意见承担法律责任；</w:t>
      </w:r>
    </w:p>
    <w:p w14:paraId="7EA70B1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（3）参与评审报告的起草；</w:t>
      </w:r>
    </w:p>
    <w:p w14:paraId="0570E038">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（4）配合采购人、采购代理机构答复供应商提出的质疑；</w:t>
      </w:r>
    </w:p>
    <w:p w14:paraId="4A62E373">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（5）配合财政部门的投诉处理和监督检查工作。</w:t>
      </w:r>
    </w:p>
    <w:p w14:paraId="00180E78">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25.6保密</w:t>
      </w:r>
    </w:p>
    <w:p w14:paraId="33DC276E">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磋商小组成员以及与评审工作有关的人员不得泄露评审情况以及评审过程中获悉的国家秘密、商业秘密。</w:t>
      </w:r>
    </w:p>
    <w:p w14:paraId="5BB2DA88">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26.评标办法</w:t>
      </w:r>
    </w:p>
    <w:p w14:paraId="4CF1934A">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竞争性磋商小组成员应当按照客观、公正、审慎的原则，根据采购文件第三章规定的评标方法和评审标准进行独立评审。未实质性响应磋商文件的响应文件按无效响应处理，磋商小组应当告知提交响应文件的供应商。</w:t>
      </w:r>
    </w:p>
    <w:p w14:paraId="51D4BD91">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27.成交无效</w:t>
      </w:r>
    </w:p>
    <w:p w14:paraId="6FE264F4">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供应商有下列情形之一的，中标、成交无效：</w:t>
      </w:r>
    </w:p>
    <w:p w14:paraId="4A894AFB">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（1）提供虚假材料谋取中标或成交的；</w:t>
      </w:r>
    </w:p>
    <w:p w14:paraId="15F648A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（2）采取不正当手段诋毁、排挤其他供应商的；</w:t>
      </w:r>
    </w:p>
    <w:p w14:paraId="053D6F2E">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（3）与采购人、其他供应商或者采购代理机构恶意串通的；</w:t>
      </w:r>
    </w:p>
    <w:p w14:paraId="101B2325">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（4）向采购人、采购代理机构行贿或者提供其他不正当利益的；</w:t>
      </w:r>
    </w:p>
    <w:p w14:paraId="6DAE0294">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（5）在招标采购过程中与采购人进行协商磋商的。</w:t>
      </w:r>
    </w:p>
    <w:p w14:paraId="4E722A2A">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在此情况下，报经同级政府采购管理部门批准，可将合同授予下一顺位中标、成交候选人，或者重新组织采购。</w:t>
      </w:r>
    </w:p>
    <w:p w14:paraId="3C34733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425F547C">
      <w:pPr>
        <w:spacing w:line="360" w:lineRule="auto"/>
        <w:jc w:val="center"/>
        <w:outlineLvl w:val="1"/>
        <w:rPr>
          <w:rFonts w:hint="eastAsia" w:ascii="仿宋" w:hAnsi="仿宋" w:eastAsia="仿宋" w:cs="仿宋"/>
          <w:b/>
          <w:sz w:val="24"/>
          <w:szCs w:val="24"/>
          <w:highlight w:val="none"/>
        </w:rPr>
      </w:pPr>
      <w:bookmarkStart w:id="27" w:name="_Toc5959956"/>
      <w:bookmarkEnd w:id="27"/>
      <w:r>
        <w:rPr>
          <w:rFonts w:hint="eastAsia" w:ascii="仿宋" w:hAnsi="仿宋" w:eastAsia="仿宋" w:cs="仿宋"/>
          <w:b/>
          <w:sz w:val="24"/>
          <w:szCs w:val="24"/>
          <w:highlight w:val="none"/>
        </w:rPr>
        <w:t>六、合同授予</w:t>
      </w:r>
    </w:p>
    <w:p w14:paraId="3A1C95DD">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28. 确定成交供应商</w:t>
      </w:r>
    </w:p>
    <w:p w14:paraId="492166A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28.1采购代理机构应当在评审结束后2个工作日内将评审报告送采购人确认。</w:t>
      </w:r>
    </w:p>
    <w:p w14:paraId="0F0261C6">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28.2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551AFB6C">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28.3成交供应商拒绝签订政府采购合同的，采购人可以按照28.2规定的原则确定其他供应商作为成交供应商并签订政府采购合同，也可以重新开展采购活动。拒绝签订政府采购合同的成交供应商不得参加对该项目重新开展的采购活动。</w:t>
      </w:r>
    </w:p>
    <w:p w14:paraId="6059533E">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29.成交通知和成交结果公告</w:t>
      </w:r>
    </w:p>
    <w:p w14:paraId="704D0171">
      <w:pPr>
        <w:spacing w:line="360" w:lineRule="auto"/>
        <w:ind w:left="100" w:right="40"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采购人或者采购代理机构应当自中标、成交供应商确定之日起2个工作日内，在原公告发布媒体上公告中标、成交结果，同时向成交供应商发出成交通知书。</w:t>
      </w:r>
    </w:p>
    <w:p w14:paraId="1E3F3C77">
      <w:pPr>
        <w:spacing w:line="360" w:lineRule="auto"/>
        <w:ind w:left="100" w:right="40"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中标、成交公告期限为1个工作日。</w:t>
      </w:r>
    </w:p>
    <w:p w14:paraId="38B70BD3">
      <w:pPr>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30.履约保证金</w:t>
      </w:r>
      <w:r>
        <w:rPr>
          <w:rFonts w:hint="eastAsia" w:ascii="仿宋" w:hAnsi="仿宋" w:eastAsia="仿宋" w:cs="仿宋"/>
          <w:bCs/>
          <w:sz w:val="24"/>
          <w:szCs w:val="24"/>
          <w:highlight w:val="none"/>
        </w:rPr>
        <w:t>：详见前附表</w:t>
      </w:r>
    </w:p>
    <w:p w14:paraId="4DFCAFC3">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31.签订合同</w:t>
      </w:r>
    </w:p>
    <w:p w14:paraId="0B709B35">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采购人与成交供应商应当在成交通知书发出之日起7日内，按照采购文件确定的合同文本以及采购标的、采购金额、采购数量、技术和服务要求等事项签订政府采购合同。</w:t>
      </w:r>
    </w:p>
    <w:p w14:paraId="3FCE3439">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0E798B3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除不可抗力等因素外，成交通知书发出后，采购人改变成交结果，或者成交供应商拒绝签订政府采购合同的，应当承担相应的法律责任。</w:t>
      </w:r>
    </w:p>
    <w:p w14:paraId="7F8A60D9">
      <w:pPr>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32.采购资金的支付</w:t>
      </w:r>
    </w:p>
    <w:p w14:paraId="2496F545">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采购人应当按照政府采购合同规定，及时向中标或者成交供应商支付采购资金。</w:t>
      </w:r>
    </w:p>
    <w:p w14:paraId="44F91457">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政府采购项目资金支付程序，按照国家有关财政资金支付管理的规定执行。</w:t>
      </w:r>
    </w:p>
    <w:p w14:paraId="7CAC4072">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33.验收</w:t>
      </w:r>
    </w:p>
    <w:p w14:paraId="50DB39B2">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按国家标准、行业通行标准。</w:t>
      </w:r>
      <w:r>
        <w:rPr>
          <w:rFonts w:hint="eastAsia" w:ascii="仿宋" w:hAnsi="仿宋" w:eastAsia="仿宋" w:cs="仿宋"/>
          <w:sz w:val="24"/>
          <w:szCs w:val="24"/>
          <w:highlight w:val="none"/>
          <w:shd w:val="clear" w:color="auto" w:fill="FFFFFF"/>
        </w:rPr>
        <w:t xml:space="preserve"> </w:t>
      </w:r>
    </w:p>
    <w:p w14:paraId="0EE8554C">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34.采购终止</w:t>
      </w:r>
    </w:p>
    <w:p w14:paraId="41C943E3">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出现下列情形之一的，采购人或者采购代理机构应当终止竞争性磋商采购活动，发布项目终止公告并说明原因，重新开展采购活动：</w:t>
      </w:r>
    </w:p>
    <w:p w14:paraId="4A7EA5AE">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（一）因情况变化，不再符合规定的竞争性磋商采购方式适用情形的；</w:t>
      </w:r>
    </w:p>
    <w:p w14:paraId="67641806">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（二）出现影响采购公正的违法、违规行为的；</w:t>
      </w:r>
    </w:p>
    <w:p w14:paraId="01A6E725">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（三）因重大变故，采购任务取消的；</w:t>
      </w:r>
    </w:p>
    <w:p w14:paraId="0F8B99C9">
      <w:pPr>
        <w:spacing w:line="360" w:lineRule="auto"/>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t>（四）在采购过程中符合竞争要求的供应商或者报价未超过采购预算的供应商不足3家的，但《政府采购竞争性磋商采购方式管理暂行办法》（财库〔2014〕214号）第三条第四项规定的情形除外。</w:t>
      </w:r>
    </w:p>
    <w:p w14:paraId="59AEA06B">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5C14FC2F">
      <w:pPr>
        <w:spacing w:line="360" w:lineRule="auto"/>
        <w:jc w:val="center"/>
        <w:outlineLvl w:val="1"/>
        <w:rPr>
          <w:rFonts w:hint="eastAsia" w:ascii="仿宋" w:hAnsi="仿宋" w:eastAsia="仿宋" w:cs="仿宋"/>
          <w:b/>
          <w:sz w:val="24"/>
          <w:szCs w:val="24"/>
          <w:highlight w:val="none"/>
        </w:rPr>
      </w:pPr>
      <w:bookmarkStart w:id="28" w:name="_Toc5959957"/>
      <w:bookmarkEnd w:id="28"/>
      <w:r>
        <w:rPr>
          <w:rFonts w:hint="eastAsia" w:ascii="仿宋" w:hAnsi="仿宋" w:eastAsia="仿宋" w:cs="仿宋"/>
          <w:b/>
          <w:sz w:val="24"/>
          <w:szCs w:val="24"/>
          <w:highlight w:val="none"/>
        </w:rPr>
        <w:t>七、纪律和监督</w:t>
      </w:r>
    </w:p>
    <w:p w14:paraId="075A96B9">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35．回避要求</w:t>
      </w:r>
    </w:p>
    <w:p w14:paraId="009AAAE6">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在政府采购活动中，采购人员、磋商小组成员及相关人员与供应商有下列利害关系之一的，应当回避：</w:t>
      </w:r>
    </w:p>
    <w:p w14:paraId="44C09911">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（1）参加采购活动前3年内与供应商存在劳动关系；</w:t>
      </w:r>
    </w:p>
    <w:p w14:paraId="3A529494">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（2）参加采购活动前3年内担任供应商的董事、监事；</w:t>
      </w:r>
    </w:p>
    <w:p w14:paraId="24856346">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（3）参加采购活动前3年内是供应商的控股股东或者实际控制人；</w:t>
      </w:r>
    </w:p>
    <w:p w14:paraId="6D6BD447">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（4）与供应商的法定代表人或者负责人有夫妻、直系血亲、三代以内旁系血亲或者近姻亲关系；</w:t>
      </w:r>
    </w:p>
    <w:p w14:paraId="51163ADB">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（5）与供应商有其他可能影响政府采购活动公平、公正进行的关系。</w:t>
      </w:r>
    </w:p>
    <w:p w14:paraId="52C54FE4">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4AC7CE3F">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36.疑问和质疑</w:t>
      </w:r>
    </w:p>
    <w:p w14:paraId="0C6B30E8">
      <w:pPr>
        <w:spacing w:line="360" w:lineRule="auto"/>
        <w:ind w:left="100" w:right="43" w:firstLine="420"/>
        <w:rPr>
          <w:rFonts w:hint="eastAsia" w:ascii="仿宋" w:hAnsi="仿宋" w:eastAsia="仿宋" w:cs="仿宋"/>
          <w:sz w:val="24"/>
          <w:szCs w:val="24"/>
          <w:highlight w:val="none"/>
        </w:rPr>
      </w:pPr>
      <w:r>
        <w:rPr>
          <w:rFonts w:hint="eastAsia" w:ascii="仿宋" w:hAnsi="仿宋" w:eastAsia="仿宋" w:cs="仿宋"/>
          <w:sz w:val="24"/>
          <w:szCs w:val="24"/>
          <w:highlight w:val="none"/>
        </w:rPr>
        <w:t>供应商对政府采购活动事项有疑问的，可以向采购人提出询问，采购人应当及时作出答复，但答复的内容不得涉及商业秘密。</w:t>
      </w:r>
    </w:p>
    <w:p w14:paraId="7BAC54EC">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供应商认为采购文件、采购过程和中标、成交结果使自己的权益受到损害的，可以在知道或者应知其权益受到损害之日起七个工作日内，以书面形式向采购人提出质疑。</w:t>
      </w:r>
    </w:p>
    <w:p w14:paraId="55476A27">
      <w:pPr>
        <w:spacing w:line="360" w:lineRule="auto"/>
        <w:jc w:val="center"/>
        <w:outlineLvl w:val="1"/>
        <w:rPr>
          <w:rFonts w:hint="eastAsia" w:ascii="仿宋" w:hAnsi="仿宋" w:eastAsia="仿宋" w:cs="仿宋"/>
          <w:b/>
          <w:sz w:val="24"/>
          <w:szCs w:val="24"/>
          <w:highlight w:val="none"/>
        </w:rPr>
      </w:pPr>
      <w:bookmarkStart w:id="29" w:name="_Toc504484069"/>
      <w:bookmarkEnd w:id="29"/>
      <w:bookmarkStart w:id="30" w:name="_Toc5959958"/>
      <w:r>
        <w:rPr>
          <w:rFonts w:hint="eastAsia" w:ascii="仿宋" w:hAnsi="仿宋" w:eastAsia="仿宋" w:cs="仿宋"/>
          <w:b/>
          <w:sz w:val="24"/>
          <w:szCs w:val="24"/>
          <w:highlight w:val="none"/>
        </w:rPr>
        <w:t>八、</w:t>
      </w:r>
      <w:bookmarkEnd w:id="30"/>
      <w:r>
        <w:rPr>
          <w:rFonts w:hint="eastAsia" w:ascii="仿宋" w:hAnsi="仿宋" w:eastAsia="仿宋" w:cs="仿宋"/>
          <w:b/>
          <w:sz w:val="24"/>
          <w:szCs w:val="24"/>
          <w:highlight w:val="none"/>
        </w:rPr>
        <w:t xml:space="preserve"> 需要补充的其他内容</w:t>
      </w:r>
    </w:p>
    <w:p w14:paraId="3CC53313">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37．是否采用电子招标投标（采购）</w:t>
      </w:r>
    </w:p>
    <w:p w14:paraId="21CB34E4">
      <w:pPr>
        <w:spacing w:line="360" w:lineRule="auto"/>
        <w:ind w:left="520" w:right="-20"/>
        <w:rPr>
          <w:rFonts w:hint="eastAsia" w:ascii="仿宋" w:hAnsi="仿宋" w:eastAsia="仿宋" w:cs="仿宋"/>
          <w:sz w:val="24"/>
          <w:szCs w:val="24"/>
          <w:highlight w:val="none"/>
        </w:rPr>
      </w:pPr>
      <w:r>
        <w:rPr>
          <w:rFonts w:hint="eastAsia" w:ascii="仿宋" w:hAnsi="仿宋" w:eastAsia="仿宋" w:cs="仿宋"/>
          <w:sz w:val="24"/>
          <w:szCs w:val="24"/>
          <w:highlight w:val="none"/>
        </w:rPr>
        <w:t>本采购项</w:t>
      </w:r>
      <w:r>
        <w:rPr>
          <w:rFonts w:hint="eastAsia" w:ascii="仿宋" w:hAnsi="仿宋" w:eastAsia="仿宋" w:cs="仿宋"/>
          <w:spacing w:val="-2"/>
          <w:sz w:val="24"/>
          <w:szCs w:val="24"/>
          <w:highlight w:val="none"/>
        </w:rPr>
        <w:t>目</w:t>
      </w:r>
      <w:r>
        <w:rPr>
          <w:rFonts w:hint="eastAsia" w:ascii="仿宋" w:hAnsi="仿宋" w:eastAsia="仿宋" w:cs="仿宋"/>
          <w:sz w:val="24"/>
          <w:szCs w:val="24"/>
          <w:highlight w:val="none"/>
        </w:rPr>
        <w:t>是</w:t>
      </w:r>
      <w:r>
        <w:rPr>
          <w:rFonts w:hint="eastAsia" w:ascii="仿宋" w:hAnsi="仿宋" w:eastAsia="仿宋" w:cs="仿宋"/>
          <w:spacing w:val="-2"/>
          <w:sz w:val="24"/>
          <w:szCs w:val="24"/>
          <w:highlight w:val="none"/>
        </w:rPr>
        <w:t>否</w:t>
      </w:r>
      <w:r>
        <w:rPr>
          <w:rFonts w:hint="eastAsia" w:ascii="仿宋" w:hAnsi="仿宋" w:eastAsia="仿宋" w:cs="仿宋"/>
          <w:sz w:val="24"/>
          <w:szCs w:val="24"/>
          <w:highlight w:val="none"/>
        </w:rPr>
        <w:t>采</w:t>
      </w:r>
      <w:r>
        <w:rPr>
          <w:rFonts w:hint="eastAsia" w:ascii="仿宋" w:hAnsi="仿宋" w:eastAsia="仿宋" w:cs="仿宋"/>
          <w:spacing w:val="-2"/>
          <w:sz w:val="24"/>
          <w:szCs w:val="24"/>
          <w:highlight w:val="none"/>
        </w:rPr>
        <w:t>用</w:t>
      </w:r>
      <w:r>
        <w:rPr>
          <w:rFonts w:hint="eastAsia" w:ascii="仿宋" w:hAnsi="仿宋" w:eastAsia="仿宋" w:cs="仿宋"/>
          <w:sz w:val="24"/>
          <w:szCs w:val="24"/>
          <w:highlight w:val="none"/>
        </w:rPr>
        <w:t>电</w:t>
      </w:r>
      <w:r>
        <w:rPr>
          <w:rFonts w:hint="eastAsia" w:ascii="仿宋" w:hAnsi="仿宋" w:eastAsia="仿宋" w:cs="仿宋"/>
          <w:spacing w:val="-2"/>
          <w:sz w:val="24"/>
          <w:szCs w:val="24"/>
          <w:highlight w:val="none"/>
        </w:rPr>
        <w:t>子</w:t>
      </w:r>
      <w:r>
        <w:rPr>
          <w:rFonts w:hint="eastAsia" w:ascii="仿宋" w:hAnsi="仿宋" w:eastAsia="仿宋" w:cs="仿宋"/>
          <w:sz w:val="24"/>
          <w:szCs w:val="24"/>
          <w:highlight w:val="none"/>
        </w:rPr>
        <w:t>招标</w:t>
      </w:r>
      <w:r>
        <w:rPr>
          <w:rFonts w:hint="eastAsia" w:ascii="仿宋" w:hAnsi="仿宋" w:eastAsia="仿宋" w:cs="仿宋"/>
          <w:spacing w:val="-2"/>
          <w:sz w:val="24"/>
          <w:szCs w:val="24"/>
          <w:highlight w:val="none"/>
        </w:rPr>
        <w:t>投</w:t>
      </w:r>
      <w:r>
        <w:rPr>
          <w:rFonts w:hint="eastAsia" w:ascii="仿宋" w:hAnsi="仿宋" w:eastAsia="仿宋" w:cs="仿宋"/>
          <w:sz w:val="24"/>
          <w:szCs w:val="24"/>
          <w:highlight w:val="none"/>
        </w:rPr>
        <w:t>标（采购）</w:t>
      </w:r>
      <w:r>
        <w:rPr>
          <w:rFonts w:hint="eastAsia" w:ascii="仿宋" w:hAnsi="仿宋" w:eastAsia="仿宋" w:cs="仿宋"/>
          <w:spacing w:val="-2"/>
          <w:sz w:val="24"/>
          <w:szCs w:val="24"/>
          <w:highlight w:val="none"/>
        </w:rPr>
        <w:t>方</w:t>
      </w:r>
      <w:r>
        <w:rPr>
          <w:rFonts w:hint="eastAsia" w:ascii="仿宋" w:hAnsi="仿宋" w:eastAsia="仿宋" w:cs="仿宋"/>
          <w:sz w:val="24"/>
          <w:szCs w:val="24"/>
          <w:highlight w:val="none"/>
        </w:rPr>
        <w:t>式</w:t>
      </w:r>
      <w:r>
        <w:rPr>
          <w:rFonts w:hint="eastAsia" w:ascii="仿宋" w:hAnsi="仿宋" w:eastAsia="仿宋" w:cs="仿宋"/>
          <w:spacing w:val="-2"/>
          <w:sz w:val="24"/>
          <w:szCs w:val="24"/>
          <w:highlight w:val="none"/>
        </w:rPr>
        <w:t>，</w:t>
      </w:r>
      <w:r>
        <w:rPr>
          <w:rFonts w:hint="eastAsia" w:ascii="仿宋" w:hAnsi="仿宋" w:eastAsia="仿宋" w:cs="仿宋"/>
          <w:sz w:val="24"/>
          <w:szCs w:val="24"/>
          <w:highlight w:val="none"/>
        </w:rPr>
        <w:t>见</w:t>
      </w:r>
      <w:r>
        <w:rPr>
          <w:rFonts w:hint="eastAsia" w:ascii="仿宋" w:hAnsi="仿宋" w:eastAsia="仿宋" w:cs="仿宋"/>
          <w:spacing w:val="-2"/>
          <w:sz w:val="24"/>
          <w:szCs w:val="24"/>
          <w:highlight w:val="none"/>
        </w:rPr>
        <w:t>供应商</w:t>
      </w:r>
      <w:r>
        <w:rPr>
          <w:rFonts w:hint="eastAsia" w:ascii="仿宋" w:hAnsi="仿宋" w:eastAsia="仿宋" w:cs="仿宋"/>
          <w:sz w:val="24"/>
          <w:szCs w:val="24"/>
          <w:highlight w:val="none"/>
        </w:rPr>
        <w:t>须知</w:t>
      </w:r>
      <w:r>
        <w:rPr>
          <w:rFonts w:hint="eastAsia" w:ascii="仿宋" w:hAnsi="仿宋" w:eastAsia="仿宋" w:cs="仿宋"/>
          <w:spacing w:val="-2"/>
          <w:sz w:val="24"/>
          <w:szCs w:val="24"/>
          <w:highlight w:val="none"/>
        </w:rPr>
        <w:t>前</w:t>
      </w:r>
      <w:r>
        <w:rPr>
          <w:rFonts w:hint="eastAsia" w:ascii="仿宋" w:hAnsi="仿宋" w:eastAsia="仿宋" w:cs="仿宋"/>
          <w:sz w:val="24"/>
          <w:szCs w:val="24"/>
          <w:highlight w:val="none"/>
        </w:rPr>
        <w:t>附</w:t>
      </w:r>
      <w:r>
        <w:rPr>
          <w:rFonts w:hint="eastAsia" w:ascii="仿宋" w:hAnsi="仿宋" w:eastAsia="仿宋" w:cs="仿宋"/>
          <w:spacing w:val="-2"/>
          <w:sz w:val="24"/>
          <w:szCs w:val="24"/>
          <w:highlight w:val="none"/>
        </w:rPr>
        <w:t>表</w:t>
      </w:r>
      <w:r>
        <w:rPr>
          <w:rFonts w:hint="eastAsia" w:ascii="仿宋" w:hAnsi="仿宋" w:eastAsia="仿宋" w:cs="仿宋"/>
          <w:sz w:val="24"/>
          <w:szCs w:val="24"/>
          <w:highlight w:val="none"/>
        </w:rPr>
        <w:t>。</w:t>
      </w:r>
    </w:p>
    <w:p w14:paraId="4E967AC0">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38其他</w:t>
      </w:r>
    </w:p>
    <w:p w14:paraId="1E725E4C">
      <w:pPr>
        <w:spacing w:line="360" w:lineRule="auto"/>
        <w:ind w:left="520" w:right="-20"/>
        <w:rPr>
          <w:rFonts w:hint="eastAsia" w:ascii="仿宋" w:hAnsi="仿宋" w:eastAsia="仿宋" w:cs="仿宋"/>
          <w:sz w:val="24"/>
          <w:szCs w:val="24"/>
          <w:highlight w:val="none"/>
        </w:rPr>
      </w:pPr>
      <w:r>
        <w:rPr>
          <w:rFonts w:hint="eastAsia" w:ascii="仿宋" w:hAnsi="仿宋" w:eastAsia="仿宋" w:cs="仿宋"/>
          <w:sz w:val="24"/>
          <w:szCs w:val="24"/>
          <w:highlight w:val="none"/>
        </w:rPr>
        <w:t>需要</w:t>
      </w:r>
      <w:r>
        <w:rPr>
          <w:rFonts w:hint="eastAsia" w:ascii="仿宋" w:hAnsi="仿宋" w:eastAsia="仿宋" w:cs="仿宋"/>
          <w:spacing w:val="-2"/>
          <w:sz w:val="24"/>
          <w:szCs w:val="24"/>
          <w:highlight w:val="none"/>
        </w:rPr>
        <w:t>补</w:t>
      </w:r>
      <w:r>
        <w:rPr>
          <w:rFonts w:hint="eastAsia" w:ascii="仿宋" w:hAnsi="仿宋" w:eastAsia="仿宋" w:cs="仿宋"/>
          <w:sz w:val="24"/>
          <w:szCs w:val="24"/>
          <w:highlight w:val="none"/>
        </w:rPr>
        <w:t>充</w:t>
      </w:r>
      <w:r>
        <w:rPr>
          <w:rFonts w:hint="eastAsia" w:ascii="仿宋" w:hAnsi="仿宋" w:eastAsia="仿宋" w:cs="仿宋"/>
          <w:spacing w:val="-2"/>
          <w:sz w:val="24"/>
          <w:szCs w:val="24"/>
          <w:highlight w:val="none"/>
        </w:rPr>
        <w:t>的</w:t>
      </w:r>
      <w:r>
        <w:rPr>
          <w:rFonts w:hint="eastAsia" w:ascii="仿宋" w:hAnsi="仿宋" w:eastAsia="仿宋" w:cs="仿宋"/>
          <w:sz w:val="24"/>
          <w:szCs w:val="24"/>
          <w:highlight w:val="none"/>
        </w:rPr>
        <w:t>其</w:t>
      </w:r>
      <w:r>
        <w:rPr>
          <w:rFonts w:hint="eastAsia" w:ascii="仿宋" w:hAnsi="仿宋" w:eastAsia="仿宋" w:cs="仿宋"/>
          <w:spacing w:val="-2"/>
          <w:sz w:val="24"/>
          <w:szCs w:val="24"/>
          <w:highlight w:val="none"/>
        </w:rPr>
        <w:t>他</w:t>
      </w:r>
      <w:r>
        <w:rPr>
          <w:rFonts w:hint="eastAsia" w:ascii="仿宋" w:hAnsi="仿宋" w:eastAsia="仿宋" w:cs="仿宋"/>
          <w:sz w:val="24"/>
          <w:szCs w:val="24"/>
          <w:highlight w:val="none"/>
        </w:rPr>
        <w:t>内</w:t>
      </w:r>
      <w:r>
        <w:rPr>
          <w:rFonts w:hint="eastAsia" w:ascii="仿宋" w:hAnsi="仿宋" w:eastAsia="仿宋" w:cs="仿宋"/>
          <w:spacing w:val="-2"/>
          <w:sz w:val="24"/>
          <w:szCs w:val="24"/>
          <w:highlight w:val="none"/>
        </w:rPr>
        <w:t>容</w:t>
      </w:r>
      <w:r>
        <w:rPr>
          <w:rFonts w:hint="eastAsia" w:ascii="仿宋" w:hAnsi="仿宋" w:eastAsia="仿宋" w:cs="仿宋"/>
          <w:sz w:val="24"/>
          <w:szCs w:val="24"/>
          <w:highlight w:val="none"/>
        </w:rPr>
        <w:t>：</w:t>
      </w:r>
      <w:r>
        <w:rPr>
          <w:rFonts w:hint="eastAsia" w:ascii="仿宋" w:hAnsi="仿宋" w:eastAsia="仿宋" w:cs="仿宋"/>
          <w:spacing w:val="-2"/>
          <w:sz w:val="24"/>
          <w:szCs w:val="24"/>
          <w:highlight w:val="none"/>
        </w:rPr>
        <w:t>见</w:t>
      </w:r>
      <w:r>
        <w:rPr>
          <w:rFonts w:hint="eastAsia" w:ascii="仿宋" w:hAnsi="仿宋" w:eastAsia="仿宋" w:cs="仿宋"/>
          <w:sz w:val="24"/>
          <w:szCs w:val="24"/>
          <w:highlight w:val="none"/>
        </w:rPr>
        <w:t>供应商须</w:t>
      </w:r>
      <w:r>
        <w:rPr>
          <w:rFonts w:hint="eastAsia" w:ascii="仿宋" w:hAnsi="仿宋" w:eastAsia="仿宋" w:cs="仿宋"/>
          <w:spacing w:val="-2"/>
          <w:sz w:val="24"/>
          <w:szCs w:val="24"/>
          <w:highlight w:val="none"/>
        </w:rPr>
        <w:t>知</w:t>
      </w:r>
      <w:r>
        <w:rPr>
          <w:rFonts w:hint="eastAsia" w:ascii="仿宋" w:hAnsi="仿宋" w:eastAsia="仿宋" w:cs="仿宋"/>
          <w:sz w:val="24"/>
          <w:szCs w:val="24"/>
          <w:highlight w:val="none"/>
        </w:rPr>
        <w:t>前</w:t>
      </w:r>
      <w:r>
        <w:rPr>
          <w:rFonts w:hint="eastAsia" w:ascii="仿宋" w:hAnsi="仿宋" w:eastAsia="仿宋" w:cs="仿宋"/>
          <w:spacing w:val="-2"/>
          <w:sz w:val="24"/>
          <w:szCs w:val="24"/>
          <w:highlight w:val="none"/>
        </w:rPr>
        <w:t>附</w:t>
      </w:r>
      <w:r>
        <w:rPr>
          <w:rFonts w:hint="eastAsia" w:ascii="仿宋" w:hAnsi="仿宋" w:eastAsia="仿宋" w:cs="仿宋"/>
          <w:sz w:val="24"/>
          <w:szCs w:val="24"/>
          <w:highlight w:val="none"/>
        </w:rPr>
        <w:t>表。</w:t>
      </w:r>
    </w:p>
    <w:p w14:paraId="2E34FB21">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39.关于中小企业、监狱企业、残疾人福利性单位参加投标的规定</w:t>
      </w:r>
      <w:bookmarkStart w:id="31" w:name="_Toc419645323"/>
      <w:bookmarkEnd w:id="31"/>
    </w:p>
    <w:p w14:paraId="78D632DB">
      <w:pPr>
        <w:spacing w:before="120"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39.1 关于投标的规定</w:t>
      </w:r>
    </w:p>
    <w:p w14:paraId="4601C42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本项目需要执行的政府采购政策：详见竞争性磋商文件。</w:t>
      </w:r>
    </w:p>
    <w:p w14:paraId="79CBC74A">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关于中小企业、监狱企业、残疾人福利性单位投标的说明</w:t>
      </w:r>
    </w:p>
    <w:p w14:paraId="77E45527">
      <w:pPr>
        <w:pStyle w:val="4"/>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仿宋" w:hAnsi="仿宋" w:eastAsia="仿宋" w:cs="仿宋"/>
          <w:b w:val="0"/>
          <w:bCs/>
          <w:color w:val="000000"/>
          <w:sz w:val="24"/>
          <w:szCs w:val="24"/>
          <w:highlight w:val="none"/>
        </w:rPr>
      </w:pPr>
      <w:bookmarkStart w:id="32" w:name="_Toc22925"/>
      <w:bookmarkStart w:id="33" w:name="_Toc6197"/>
      <w:r>
        <w:rPr>
          <w:rFonts w:hint="eastAsia" w:ascii="仿宋" w:hAnsi="仿宋" w:eastAsia="仿宋" w:cs="仿宋"/>
          <w:b w:val="0"/>
          <w:bCs/>
          <w:color w:val="000000"/>
          <w:sz w:val="24"/>
          <w:szCs w:val="24"/>
          <w:highlight w:val="none"/>
          <w:lang w:val="en-US" w:eastAsia="zh-CN"/>
        </w:rPr>
        <w:t>39.</w:t>
      </w:r>
      <w:r>
        <w:rPr>
          <w:rFonts w:hint="eastAsia" w:ascii="仿宋" w:hAnsi="仿宋" w:eastAsia="仿宋" w:cs="仿宋"/>
          <w:b w:val="0"/>
          <w:bCs/>
          <w:color w:val="000000"/>
          <w:sz w:val="24"/>
          <w:szCs w:val="24"/>
          <w:highlight w:val="none"/>
        </w:rPr>
        <w:t>9.1 含义</w:t>
      </w:r>
      <w:bookmarkEnd w:id="32"/>
      <w:bookmarkEnd w:id="33"/>
    </w:p>
    <w:p w14:paraId="6CA0FF0A">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39.</w:t>
      </w:r>
      <w:r>
        <w:rPr>
          <w:rFonts w:hint="eastAsia" w:ascii="仿宋" w:hAnsi="仿宋" w:eastAsia="仿宋" w:cs="仿宋"/>
          <w:b w:val="0"/>
          <w:bCs/>
          <w:color w:val="000000"/>
          <w:sz w:val="24"/>
          <w:szCs w:val="24"/>
          <w:highlight w:val="none"/>
        </w:rPr>
        <w:t>9.1.1中小企业。符合国务院有关部门制定的中小企业划型标准，提供本企业制造的货物、承担的工程或者服务，或者提供其他中小企业制造的货物。</w:t>
      </w:r>
    </w:p>
    <w:p w14:paraId="57C6AC5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000000"/>
          <w:sz w:val="24"/>
          <w:szCs w:val="24"/>
          <w:highlight w:val="none"/>
          <w:lang w:eastAsia="zh-CN"/>
        </w:rPr>
      </w:pPr>
      <w:r>
        <w:rPr>
          <w:rFonts w:hint="eastAsia" w:ascii="仿宋" w:hAnsi="仿宋" w:eastAsia="仿宋" w:cs="仿宋"/>
          <w:b w:val="0"/>
          <w:bCs/>
          <w:color w:val="000000"/>
          <w:sz w:val="24"/>
          <w:szCs w:val="24"/>
          <w:highlight w:val="none"/>
          <w:lang w:val="en-US" w:eastAsia="zh-CN"/>
        </w:rPr>
        <w:t>39.</w:t>
      </w:r>
      <w:r>
        <w:rPr>
          <w:rFonts w:hint="eastAsia" w:ascii="仿宋" w:hAnsi="仿宋" w:eastAsia="仿宋" w:cs="仿宋"/>
          <w:b w:val="0"/>
          <w:bCs/>
          <w:color w:val="000000"/>
          <w:sz w:val="24"/>
          <w:szCs w:val="24"/>
          <w:highlight w:val="none"/>
        </w:rPr>
        <w:t>9.1.2监狱企业。监狱企业参加政府采购活动时，应当提供由省级以上监狱管理局、戒毒管理局（含新疆生产建设兵团）出具的属于监狱企业的证明文件，才可享受相关政策。</w:t>
      </w:r>
    </w:p>
    <w:p w14:paraId="0753F59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在政府采购活动中监狱企业视同小型、微型企业并适用其相关规定，提供本企业制造的货物、承担的工程或服务，享受预留份额、评审中价格扣除等政府采购促进中小企业发展的政府采购政策。</w:t>
      </w:r>
    </w:p>
    <w:p w14:paraId="498795D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39.</w:t>
      </w:r>
      <w:r>
        <w:rPr>
          <w:rFonts w:hint="eastAsia" w:ascii="仿宋" w:hAnsi="仿宋" w:eastAsia="仿宋" w:cs="仿宋"/>
          <w:b w:val="0"/>
          <w:bCs/>
          <w:color w:val="000000"/>
          <w:sz w:val="24"/>
          <w:szCs w:val="24"/>
          <w:highlight w:val="none"/>
        </w:rPr>
        <w:t>9.1.3残疾人福利性单位。</w:t>
      </w:r>
    </w:p>
    <w:p w14:paraId="3158C07E">
      <w:pPr>
        <w:pageBreakBefore w:val="0"/>
        <w:widowControl w:val="0"/>
        <w:kinsoku/>
        <w:wordWrap/>
        <w:overflowPunct/>
        <w:topLinePunct w:val="0"/>
        <w:autoSpaceDE/>
        <w:autoSpaceDN/>
        <w:bidi w:val="0"/>
        <w:adjustRightInd/>
        <w:snapToGrid/>
        <w:spacing w:line="360" w:lineRule="auto"/>
        <w:ind w:firstLine="960" w:firstLineChars="40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39.</w:t>
      </w:r>
      <w:r>
        <w:rPr>
          <w:rFonts w:hint="eastAsia" w:ascii="仿宋" w:hAnsi="仿宋" w:eastAsia="仿宋" w:cs="仿宋"/>
          <w:b w:val="0"/>
          <w:bCs/>
          <w:color w:val="000000"/>
          <w:sz w:val="24"/>
          <w:szCs w:val="24"/>
          <w:highlight w:val="none"/>
        </w:rPr>
        <w:t>9.1.3.1享受政府采购支持政策的残疾人福利性单位应当同时满足以下条件：</w:t>
      </w:r>
    </w:p>
    <w:p w14:paraId="238603B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（一）安置的残疾人占本单位在职职工人数的比例不低于25%（含25%），并且安置的残疾人人数不少于10人（含10人）；</w:t>
      </w:r>
    </w:p>
    <w:p w14:paraId="6136BDF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（二）依法与安置的每位残疾人签订了一年以上（含一年）的劳动合同或服务协议；</w:t>
      </w:r>
    </w:p>
    <w:p w14:paraId="7172AA9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（三）为安置的每位残疾人按月足额缴纳了基本养老保险、基本医疗保险、失业保险、工伤保险和生育保险等社会保险费；</w:t>
      </w:r>
    </w:p>
    <w:p w14:paraId="303F3094">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（四）通过银行等金融机构向安置的每位残疾人，按月支付了不低于单位所在区县适用的经省级人民政府批准的月最低工资标准的工资；</w:t>
      </w:r>
    </w:p>
    <w:p w14:paraId="43286C2E">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（五）提供本单位制造的货物、承担的工程或者服务（以下简称产品），或者提供其他残疾人福利性单位制造的货物（不包括使用非残疾人福利性单位注册商标的货物）。</w:t>
      </w:r>
    </w:p>
    <w:p w14:paraId="5E7CA11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A1D9A9D">
      <w:pPr>
        <w:pageBreakBefore w:val="0"/>
        <w:widowControl w:val="0"/>
        <w:kinsoku/>
        <w:wordWrap/>
        <w:overflowPunct/>
        <w:topLinePunct w:val="0"/>
        <w:autoSpaceDE/>
        <w:autoSpaceDN/>
        <w:bidi w:val="0"/>
        <w:adjustRightInd/>
        <w:snapToGrid/>
        <w:spacing w:line="360" w:lineRule="auto"/>
        <w:ind w:firstLine="960" w:firstLineChars="40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39.</w:t>
      </w:r>
      <w:r>
        <w:rPr>
          <w:rFonts w:hint="eastAsia" w:ascii="仿宋" w:hAnsi="仿宋" w:eastAsia="仿宋" w:cs="仿宋"/>
          <w:b w:val="0"/>
          <w:bCs/>
          <w:color w:val="000000"/>
          <w:sz w:val="24"/>
          <w:szCs w:val="24"/>
          <w:highlight w:val="none"/>
        </w:rPr>
        <w:t>9.1.3.2、符合条件的残疾人福利性单位在参加政府采购活动时，应当提供规定的《残疾人福利性单位声明函》（见附件），并对声明的真实性负责。</w:t>
      </w:r>
    </w:p>
    <w:p w14:paraId="176FDDC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供应商提供的《残疾人福利性单位声明函》与事实不符的，依照《</w:t>
      </w:r>
      <w:r>
        <w:rPr>
          <w:rFonts w:hint="eastAsia" w:ascii="仿宋" w:hAnsi="仿宋" w:eastAsia="仿宋" w:cs="仿宋"/>
          <w:b w:val="0"/>
          <w:bCs/>
          <w:color w:val="000000"/>
          <w:sz w:val="24"/>
          <w:szCs w:val="24"/>
          <w:highlight w:val="none"/>
          <w:lang w:eastAsia="zh-CN"/>
        </w:rPr>
        <w:t>中华人民共和国政府采购法</w:t>
      </w:r>
      <w:r>
        <w:rPr>
          <w:rFonts w:hint="eastAsia" w:ascii="仿宋" w:hAnsi="仿宋" w:eastAsia="仿宋" w:cs="仿宋"/>
          <w:b w:val="0"/>
          <w:bCs/>
          <w:color w:val="000000"/>
          <w:sz w:val="24"/>
          <w:szCs w:val="24"/>
          <w:highlight w:val="none"/>
        </w:rPr>
        <w:t>》第七十七条第一款和招标文</w:t>
      </w:r>
      <w:r>
        <w:rPr>
          <w:rFonts w:hint="eastAsia" w:ascii="仿宋" w:hAnsi="仿宋" w:eastAsia="仿宋" w:cs="仿宋"/>
          <w:b w:val="0"/>
          <w:bCs/>
          <w:color w:val="000000"/>
          <w:sz w:val="24"/>
          <w:szCs w:val="24"/>
          <w:highlight w:val="none"/>
          <w:lang w:eastAsia="zh-CN"/>
        </w:rPr>
        <w:t>件的</w:t>
      </w:r>
      <w:r>
        <w:rPr>
          <w:rFonts w:hint="eastAsia" w:ascii="仿宋" w:hAnsi="仿宋" w:eastAsia="仿宋" w:cs="仿宋"/>
          <w:b w:val="0"/>
          <w:bCs/>
          <w:color w:val="000000"/>
          <w:sz w:val="24"/>
          <w:szCs w:val="24"/>
          <w:highlight w:val="none"/>
        </w:rPr>
        <w:t>规定追究法律责任。</w:t>
      </w:r>
    </w:p>
    <w:p w14:paraId="5E775581">
      <w:pPr>
        <w:pageBreakBefore w:val="0"/>
        <w:widowControl w:val="0"/>
        <w:kinsoku/>
        <w:wordWrap/>
        <w:overflowPunct/>
        <w:topLinePunct w:val="0"/>
        <w:autoSpaceDE/>
        <w:autoSpaceDN/>
        <w:bidi w:val="0"/>
        <w:adjustRightInd/>
        <w:snapToGrid/>
        <w:spacing w:line="360" w:lineRule="auto"/>
        <w:ind w:firstLine="960" w:firstLineChars="40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39.</w:t>
      </w:r>
      <w:r>
        <w:rPr>
          <w:rFonts w:hint="eastAsia" w:ascii="仿宋" w:hAnsi="仿宋" w:eastAsia="仿宋" w:cs="仿宋"/>
          <w:b w:val="0"/>
          <w:bCs/>
          <w:color w:val="000000"/>
          <w:sz w:val="24"/>
          <w:szCs w:val="24"/>
          <w:highlight w:val="none"/>
        </w:rPr>
        <w:t>9.1.3.3、在政府采购活动中残疾人福利性单位视同小型、微型企业并适用其相关规定，提供本企业制造的货物、承担的工程或服务，享受预留份额、评审中价格扣除等促进中小企业发展的政府采购政策。</w:t>
      </w:r>
    </w:p>
    <w:p w14:paraId="4144ECCB">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w:t>
      </w:r>
      <w:r>
        <w:rPr>
          <w:rFonts w:hint="eastAsia" w:ascii="仿宋" w:hAnsi="仿宋" w:eastAsia="仿宋" w:cs="仿宋"/>
          <w:b w:val="0"/>
          <w:bCs/>
          <w:color w:val="000000"/>
          <w:sz w:val="24"/>
          <w:szCs w:val="24"/>
          <w:highlight w:val="none"/>
          <w:lang w:val="en-US" w:eastAsia="zh-CN"/>
        </w:rPr>
        <w:t xml:space="preserve"> 39.</w:t>
      </w:r>
      <w:r>
        <w:rPr>
          <w:rFonts w:hint="eastAsia" w:ascii="仿宋" w:hAnsi="仿宋" w:eastAsia="仿宋" w:cs="仿宋"/>
          <w:b w:val="0"/>
          <w:bCs/>
          <w:color w:val="000000"/>
          <w:sz w:val="24"/>
          <w:szCs w:val="24"/>
          <w:highlight w:val="none"/>
        </w:rPr>
        <w:t>9.1.4 中标、成交结果公告同时公告其</w:t>
      </w:r>
      <w:r>
        <w:rPr>
          <w:rFonts w:hint="eastAsia" w:ascii="仿宋" w:hAnsi="仿宋" w:eastAsia="仿宋" w:cs="仿宋"/>
          <w:b w:val="0"/>
          <w:bCs/>
          <w:color w:val="000000"/>
          <w:sz w:val="24"/>
          <w:szCs w:val="24"/>
          <w:highlight w:val="none"/>
          <w:lang w:val="en-US" w:eastAsia="zh-CN"/>
        </w:rPr>
        <w:t>中</w:t>
      </w:r>
      <w:r>
        <w:rPr>
          <w:rFonts w:hint="eastAsia" w:ascii="仿宋" w:hAnsi="仿宋" w:eastAsia="仿宋" w:cs="仿宋"/>
          <w:b w:val="0"/>
          <w:bCs/>
          <w:color w:val="000000"/>
          <w:sz w:val="24"/>
          <w:szCs w:val="24"/>
          <w:highlight w:val="none"/>
        </w:rPr>
        <w:t>小企业、监狱企业、残疾人福利性单位的证明材料及相关资料，接受社会监督。</w:t>
      </w:r>
    </w:p>
    <w:p w14:paraId="7ADE3A46">
      <w:pPr>
        <w:pStyle w:val="4"/>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仿宋" w:hAnsi="仿宋" w:eastAsia="仿宋" w:cs="仿宋"/>
          <w:b/>
          <w:bCs w:val="0"/>
          <w:color w:val="000000"/>
          <w:sz w:val="24"/>
          <w:szCs w:val="24"/>
          <w:highlight w:val="none"/>
          <w:lang w:eastAsia="zh-CN"/>
        </w:rPr>
      </w:pPr>
      <w:bookmarkStart w:id="34" w:name="_Toc27401"/>
      <w:bookmarkStart w:id="35" w:name="_Toc5139"/>
      <w:r>
        <w:rPr>
          <w:rFonts w:hint="eastAsia" w:ascii="仿宋" w:hAnsi="仿宋" w:eastAsia="仿宋" w:cs="仿宋"/>
          <w:b w:val="0"/>
          <w:bCs/>
          <w:color w:val="000000"/>
          <w:sz w:val="24"/>
          <w:szCs w:val="24"/>
          <w:highlight w:val="none"/>
          <w:lang w:val="en-US" w:eastAsia="zh-CN"/>
        </w:rPr>
        <w:t>39.</w:t>
      </w:r>
      <w:r>
        <w:rPr>
          <w:rFonts w:hint="eastAsia" w:ascii="仿宋" w:hAnsi="仿宋" w:eastAsia="仿宋" w:cs="仿宋"/>
          <w:b w:val="0"/>
          <w:bCs/>
          <w:color w:val="000000"/>
          <w:sz w:val="24"/>
          <w:szCs w:val="24"/>
          <w:highlight w:val="none"/>
        </w:rPr>
        <w:t>9.2价格</w:t>
      </w:r>
      <w:r>
        <w:rPr>
          <w:rFonts w:hint="eastAsia" w:ascii="仿宋" w:hAnsi="仿宋" w:eastAsia="仿宋" w:cs="仿宋"/>
          <w:b w:val="0"/>
          <w:bCs/>
          <w:color w:val="000000"/>
          <w:sz w:val="24"/>
          <w:szCs w:val="24"/>
          <w:highlight w:val="none"/>
          <w:lang w:val="en-US" w:eastAsia="zh-CN"/>
        </w:rPr>
        <w:t>优惠政策</w:t>
      </w:r>
      <w:r>
        <w:rPr>
          <w:rFonts w:hint="eastAsia" w:ascii="仿宋" w:hAnsi="仿宋" w:eastAsia="仿宋" w:cs="仿宋"/>
          <w:b w:val="0"/>
          <w:bCs/>
          <w:color w:val="000000"/>
          <w:sz w:val="24"/>
          <w:szCs w:val="24"/>
          <w:highlight w:val="none"/>
          <w:lang w:eastAsia="zh-CN"/>
        </w:rPr>
        <w:t>，</w:t>
      </w:r>
      <w:r>
        <w:rPr>
          <w:rFonts w:hint="eastAsia" w:ascii="仿宋" w:hAnsi="仿宋" w:eastAsia="仿宋" w:cs="仿宋"/>
          <w:b/>
          <w:bCs w:val="0"/>
          <w:color w:val="000000"/>
          <w:sz w:val="24"/>
          <w:szCs w:val="24"/>
          <w:highlight w:val="none"/>
          <w:lang w:val="en-US" w:eastAsia="zh-CN"/>
        </w:rPr>
        <w:t>本项目专门面向中小企业采购，评审中价格将均不予扣除。</w:t>
      </w:r>
      <w:bookmarkEnd w:id="34"/>
      <w:bookmarkEnd w:id="35"/>
    </w:p>
    <w:p w14:paraId="3A4605B3">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39.</w:t>
      </w:r>
      <w:r>
        <w:rPr>
          <w:rFonts w:hint="eastAsia" w:ascii="仿宋" w:hAnsi="仿宋" w:eastAsia="仿宋" w:cs="仿宋"/>
          <w:b w:val="0"/>
          <w:bCs/>
          <w:color w:val="000000"/>
          <w:sz w:val="24"/>
          <w:szCs w:val="24"/>
          <w:highlight w:val="none"/>
        </w:rPr>
        <w:t>9.2.1供应商属于中小微企业，提供本企业的货物、工程或者服务，按要求出具《中小企业声明函》，符合下列情形的，享受中小企业扶持政策：</w:t>
      </w:r>
    </w:p>
    <w:p w14:paraId="2991864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（一）在货物采购项目中，货物由中小企业制造，即货物由中小企业生产且使用该中小企业商号或者注册商标； </w:t>
      </w:r>
    </w:p>
    <w:p w14:paraId="19B0387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（二）在工程采购项目中，工程由中小企业承建，即工程施工单位为中小企业； </w:t>
      </w:r>
    </w:p>
    <w:p w14:paraId="54A8E4E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（三）在服务采购项目中，服务由中小企业承接，即提供服务的人员为中小企业依照《中华人民共和国劳动合同法》 订立劳动合同的从业人员。 </w:t>
      </w:r>
    </w:p>
    <w:p w14:paraId="33A749D0">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39.</w:t>
      </w:r>
      <w:r>
        <w:rPr>
          <w:rFonts w:hint="eastAsia" w:ascii="仿宋" w:hAnsi="仿宋" w:eastAsia="仿宋" w:cs="仿宋"/>
          <w:b w:val="0"/>
          <w:bCs/>
          <w:color w:val="000000"/>
          <w:sz w:val="24"/>
          <w:szCs w:val="24"/>
          <w:highlight w:val="none"/>
        </w:rPr>
        <w:t>9.2.2供应商属于监狱企业并以该身份投标，按要求提供《监狱企业证明》，视同小型、微型企业。</w:t>
      </w:r>
    </w:p>
    <w:p w14:paraId="71013A0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39.</w:t>
      </w:r>
      <w:r>
        <w:rPr>
          <w:rFonts w:hint="eastAsia" w:ascii="仿宋" w:hAnsi="仿宋" w:eastAsia="仿宋" w:cs="仿宋"/>
          <w:b w:val="0"/>
          <w:bCs/>
          <w:color w:val="000000"/>
          <w:sz w:val="24"/>
          <w:szCs w:val="24"/>
          <w:highlight w:val="none"/>
        </w:rPr>
        <w:t>9.2.3、供应商属于残疾人福利性单位并以该身份投标，按要求提供《残疾人福利性单位声明函》，提供本单位制造的货物、承担的工程或者服务，或者提供其他残疾人福利性单位制造的货物（不包括使用非残疾人福利性单位注册商标的货物），视同小型、微型企业。</w:t>
      </w:r>
    </w:p>
    <w:p w14:paraId="5B1214D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供应商对其提供的资料真实性自行负责，如有虚假，列入财政部“政府采购严重违法失信行为信息记录”，若为中标人者其中标资格将被取消。</w:t>
      </w:r>
    </w:p>
    <w:p w14:paraId="391A597E">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39.</w:t>
      </w:r>
      <w:r>
        <w:rPr>
          <w:rFonts w:hint="eastAsia" w:ascii="仿宋" w:hAnsi="仿宋" w:eastAsia="仿宋" w:cs="仿宋"/>
          <w:b/>
          <w:bCs/>
          <w:sz w:val="24"/>
          <w:szCs w:val="24"/>
          <w:highlight w:val="none"/>
          <w:lang w:val="en-US" w:eastAsia="zh-CN"/>
        </w:rPr>
        <w:t>3</w:t>
      </w:r>
      <w:r>
        <w:rPr>
          <w:rFonts w:hint="eastAsia" w:ascii="仿宋" w:hAnsi="仿宋" w:eastAsia="仿宋" w:cs="仿宋"/>
          <w:b/>
          <w:bCs/>
          <w:sz w:val="24"/>
          <w:szCs w:val="24"/>
          <w:highlight w:val="none"/>
        </w:rPr>
        <w:t>部分中小企业划型标准规定</w:t>
      </w:r>
    </w:p>
    <w:p w14:paraId="533CB34C">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39.</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1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8B38298">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40.节能环保</w:t>
      </w:r>
    </w:p>
    <w:p w14:paraId="57A9D382">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40.1评标时涉及节能产品的，将按根据《财政部发展改革委 生态环境部 市场监管总局关于调整优化节能产品 环境标志产品政府采购执行机制的通知》（财库〔2019〕9 号），的规定执行。采购人拟采购的产品如属于品目清单范围的，采购人及其委托的采购代理机构应当根据国家确定的认证机构出具的、处于有效期之内的节能产品、环境标志产品认证证书，对获得证书的产品实施政府优先采购或强制采购。 </w:t>
      </w:r>
    </w:p>
    <w:p w14:paraId="01814822">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40.2根据财政部、国家环保总局联合印发《关于环境标志产品政府采购实施的意见》（财库 [2006]90号），如供应商所提供产品属于被列入最新一期环境标志产品政府采购清单产品，将给以优先采购。</w:t>
      </w:r>
    </w:p>
    <w:p w14:paraId="3840359A">
      <w:pPr>
        <w:kinsoku/>
        <w:autoSpaceDE/>
        <w:autoSpaceDN/>
        <w:adjustRightInd/>
        <w:snapToGrid/>
        <w:spacing w:line="360" w:lineRule="auto"/>
        <w:textAlignment w:val="auto"/>
        <w:rPr>
          <w:rFonts w:hint="eastAsia" w:ascii="仿宋" w:hAnsi="仿宋" w:eastAsia="仿宋" w:cs="仿宋"/>
          <w:highlight w:val="none"/>
        </w:rPr>
        <w:sectPr>
          <w:pgSz w:w="11906" w:h="16839"/>
          <w:pgMar w:top="1431" w:right="1785" w:bottom="1157" w:left="1785" w:header="0" w:footer="992" w:gutter="0"/>
          <w:pgNumType w:fmt="decimal"/>
          <w:cols w:space="720" w:num="1"/>
        </w:sectPr>
      </w:pPr>
    </w:p>
    <w:p w14:paraId="34224BAF">
      <w:pPr>
        <w:spacing w:before="101" w:line="360" w:lineRule="auto"/>
        <w:ind w:left="3650"/>
        <w:outlineLvl w:val="0"/>
        <w:rPr>
          <w:rFonts w:hint="eastAsia" w:ascii="仿宋" w:hAnsi="仿宋" w:eastAsia="仿宋" w:cs="仿宋"/>
          <w:b/>
          <w:bCs/>
          <w:sz w:val="31"/>
          <w:szCs w:val="31"/>
          <w:highlight w:val="none"/>
        </w:rPr>
      </w:pPr>
      <w:bookmarkStart w:id="36" w:name="_Toc9103"/>
      <w:bookmarkEnd w:id="36"/>
      <w:bookmarkStart w:id="37" w:name="_Toc17096"/>
      <w:r>
        <w:rPr>
          <w:rFonts w:hint="eastAsia" w:ascii="仿宋" w:hAnsi="仿宋" w:eastAsia="仿宋" w:cs="仿宋"/>
          <w:b/>
          <w:bCs/>
          <w:spacing w:val="8"/>
          <w:sz w:val="31"/>
          <w:szCs w:val="31"/>
          <w:highlight w:val="none"/>
        </w:rPr>
        <w:t>第三章 评标办法</w:t>
      </w:r>
      <w:bookmarkEnd w:id="37"/>
    </w:p>
    <w:p w14:paraId="4CB22F89">
      <w:pPr>
        <w:bidi w:val="0"/>
        <w:spacing w:line="360" w:lineRule="auto"/>
        <w:jc w:val="center"/>
        <w:rPr>
          <w:rFonts w:hint="eastAsia" w:ascii="仿宋" w:hAnsi="仿宋" w:eastAsia="仿宋" w:cs="仿宋"/>
          <w:b/>
          <w:bCs/>
          <w:sz w:val="24"/>
          <w:szCs w:val="24"/>
          <w:highlight w:val="none"/>
        </w:rPr>
      </w:pPr>
      <w:bookmarkStart w:id="38" w:name="_Toc24695"/>
      <w:bookmarkEnd w:id="38"/>
      <w:bookmarkStart w:id="39" w:name="_Toc28407"/>
      <w:r>
        <w:rPr>
          <w:rFonts w:hint="eastAsia" w:ascii="仿宋" w:hAnsi="仿宋" w:eastAsia="仿宋" w:cs="仿宋"/>
          <w:b/>
          <w:bCs/>
          <w:sz w:val="24"/>
          <w:szCs w:val="24"/>
          <w:highlight w:val="none"/>
        </w:rPr>
        <w:t>评标办法前附表</w:t>
      </w:r>
      <w:bookmarkEnd w:id="39"/>
    </w:p>
    <w:tbl>
      <w:tblPr>
        <w:tblStyle w:val="34"/>
        <w:tblW w:w="9682" w:type="dxa"/>
        <w:tblInd w:w="1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2"/>
        <w:gridCol w:w="1217"/>
        <w:gridCol w:w="2820"/>
        <w:gridCol w:w="4833"/>
      </w:tblGrid>
      <w:tr w14:paraId="3CE935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trPr>
        <w:tc>
          <w:tcPr>
            <w:tcW w:w="2029" w:type="dxa"/>
            <w:gridSpan w:val="2"/>
            <w:tcBorders>
              <w:top w:val="single" w:color="000000" w:sz="2" w:space="0"/>
              <w:left w:val="single" w:color="000000" w:sz="2" w:space="0"/>
              <w:bottom w:val="single" w:color="auto" w:sz="4" w:space="0"/>
              <w:right w:val="single" w:color="000000" w:sz="2" w:space="0"/>
            </w:tcBorders>
          </w:tcPr>
          <w:p w14:paraId="43528E80">
            <w:pPr>
              <w:pStyle w:val="27"/>
              <w:spacing w:before="186" w:line="360" w:lineRule="auto"/>
              <w:ind w:left="707"/>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条款号</w:t>
            </w:r>
          </w:p>
        </w:tc>
        <w:tc>
          <w:tcPr>
            <w:tcW w:w="2820" w:type="dxa"/>
            <w:tcBorders>
              <w:top w:val="single" w:color="000000" w:sz="2" w:space="0"/>
              <w:left w:val="single" w:color="000000" w:sz="2" w:space="0"/>
              <w:bottom w:val="single" w:color="000000" w:sz="2" w:space="0"/>
              <w:right w:val="single" w:color="000000" w:sz="2" w:space="0"/>
            </w:tcBorders>
          </w:tcPr>
          <w:p w14:paraId="77D95307">
            <w:pPr>
              <w:pStyle w:val="27"/>
              <w:spacing w:before="186" w:line="360" w:lineRule="auto"/>
              <w:ind w:left="838"/>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评审因素</w:t>
            </w:r>
          </w:p>
        </w:tc>
        <w:tc>
          <w:tcPr>
            <w:tcW w:w="4833" w:type="dxa"/>
            <w:tcBorders>
              <w:top w:val="single" w:color="000000" w:sz="2" w:space="0"/>
              <w:left w:val="single" w:color="000000" w:sz="2" w:space="0"/>
              <w:bottom w:val="single" w:color="000000" w:sz="2" w:space="0"/>
              <w:right w:val="single" w:color="000000" w:sz="2" w:space="0"/>
            </w:tcBorders>
          </w:tcPr>
          <w:p w14:paraId="5343F191">
            <w:pPr>
              <w:pStyle w:val="27"/>
              <w:spacing w:before="186" w:line="360" w:lineRule="auto"/>
              <w:ind w:left="2157"/>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评审标准</w:t>
            </w:r>
          </w:p>
        </w:tc>
      </w:tr>
      <w:tr w14:paraId="5DF226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812" w:type="dxa"/>
            <w:vMerge w:val="restart"/>
            <w:tcBorders>
              <w:top w:val="single" w:color="auto" w:sz="4" w:space="0"/>
              <w:left w:val="single" w:color="auto" w:sz="4" w:space="0"/>
              <w:bottom w:val="single" w:color="auto" w:sz="4" w:space="0"/>
              <w:right w:val="single" w:color="auto" w:sz="4" w:space="0"/>
            </w:tcBorders>
          </w:tcPr>
          <w:p w14:paraId="6168D714">
            <w:pPr>
              <w:spacing w:line="360" w:lineRule="auto"/>
              <w:rPr>
                <w:rFonts w:hint="eastAsia" w:ascii="仿宋" w:hAnsi="仿宋" w:eastAsia="仿宋" w:cs="仿宋"/>
                <w:sz w:val="24"/>
                <w:szCs w:val="24"/>
                <w:highlight w:val="none"/>
              </w:rPr>
            </w:pPr>
          </w:p>
          <w:p w14:paraId="2962A61A">
            <w:pPr>
              <w:spacing w:line="360" w:lineRule="auto"/>
              <w:rPr>
                <w:rFonts w:hint="eastAsia" w:ascii="仿宋" w:hAnsi="仿宋" w:eastAsia="仿宋" w:cs="仿宋"/>
                <w:sz w:val="22"/>
                <w:szCs w:val="24"/>
                <w:highlight w:val="none"/>
              </w:rPr>
            </w:pPr>
          </w:p>
          <w:p w14:paraId="10C601DE">
            <w:pPr>
              <w:spacing w:line="360" w:lineRule="auto"/>
              <w:rPr>
                <w:rFonts w:hint="eastAsia" w:ascii="仿宋" w:hAnsi="仿宋" w:eastAsia="仿宋" w:cs="仿宋"/>
                <w:sz w:val="22"/>
                <w:szCs w:val="24"/>
                <w:highlight w:val="none"/>
              </w:rPr>
            </w:pPr>
          </w:p>
          <w:p w14:paraId="45A67845">
            <w:pPr>
              <w:pStyle w:val="27"/>
              <w:spacing w:before="65" w:line="360" w:lineRule="auto"/>
              <w:ind w:left="118"/>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2.1.1</w:t>
            </w:r>
          </w:p>
        </w:tc>
        <w:tc>
          <w:tcPr>
            <w:tcW w:w="1217" w:type="dxa"/>
            <w:vMerge w:val="restart"/>
            <w:tcBorders>
              <w:top w:val="single" w:color="auto" w:sz="4" w:space="0"/>
              <w:left w:val="single" w:color="auto" w:sz="4" w:space="0"/>
              <w:bottom w:val="single" w:color="auto" w:sz="4" w:space="0"/>
              <w:right w:val="single" w:color="auto" w:sz="4" w:space="0"/>
            </w:tcBorders>
          </w:tcPr>
          <w:p w14:paraId="34091575">
            <w:pPr>
              <w:spacing w:line="360" w:lineRule="auto"/>
              <w:jc w:val="center"/>
              <w:rPr>
                <w:rFonts w:hint="eastAsia" w:ascii="仿宋" w:hAnsi="仿宋" w:eastAsia="仿宋" w:cs="仿宋"/>
                <w:sz w:val="24"/>
                <w:szCs w:val="24"/>
                <w:highlight w:val="none"/>
              </w:rPr>
            </w:pPr>
          </w:p>
          <w:p w14:paraId="7F3EB9A3">
            <w:pPr>
              <w:spacing w:line="360" w:lineRule="auto"/>
              <w:jc w:val="center"/>
              <w:rPr>
                <w:rFonts w:hint="eastAsia" w:ascii="仿宋" w:hAnsi="仿宋" w:eastAsia="仿宋" w:cs="仿宋"/>
                <w:sz w:val="22"/>
                <w:szCs w:val="24"/>
                <w:highlight w:val="none"/>
              </w:rPr>
            </w:pPr>
          </w:p>
          <w:p w14:paraId="1B35402D">
            <w:pPr>
              <w:spacing w:line="360" w:lineRule="auto"/>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形式评审</w:t>
            </w:r>
          </w:p>
          <w:p w14:paraId="5AC7387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8"/>
                <w:highlight w:val="none"/>
              </w:rPr>
              <w:t>标准</w:t>
            </w:r>
          </w:p>
        </w:tc>
        <w:tc>
          <w:tcPr>
            <w:tcW w:w="2820" w:type="dxa"/>
            <w:tcBorders>
              <w:top w:val="single" w:color="000000" w:sz="2" w:space="0"/>
              <w:left w:val="single" w:color="auto" w:sz="4" w:space="0"/>
              <w:bottom w:val="single" w:color="000000" w:sz="2" w:space="0"/>
              <w:right w:val="single" w:color="000000" w:sz="2" w:space="0"/>
            </w:tcBorders>
          </w:tcPr>
          <w:p w14:paraId="214A82C7">
            <w:pPr>
              <w:pStyle w:val="27"/>
              <w:spacing w:before="162" w:line="360" w:lineRule="auto"/>
              <w:ind w:left="733"/>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供应商名称</w:t>
            </w:r>
          </w:p>
        </w:tc>
        <w:tc>
          <w:tcPr>
            <w:tcW w:w="4833" w:type="dxa"/>
            <w:tcBorders>
              <w:top w:val="single" w:color="000000" w:sz="2" w:space="0"/>
              <w:left w:val="single" w:color="000000" w:sz="2" w:space="0"/>
              <w:bottom w:val="single" w:color="000000" w:sz="2" w:space="0"/>
              <w:right w:val="single" w:color="000000" w:sz="2" w:space="0"/>
            </w:tcBorders>
          </w:tcPr>
          <w:p w14:paraId="7CD82FBC">
            <w:pPr>
              <w:pStyle w:val="27"/>
              <w:spacing w:before="163" w:line="360" w:lineRule="auto"/>
              <w:ind w:left="117"/>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与营业执照一致</w:t>
            </w:r>
          </w:p>
        </w:tc>
      </w:tr>
      <w:tr w14:paraId="26B7DE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812" w:type="dxa"/>
            <w:vMerge w:val="continue"/>
            <w:tcBorders>
              <w:top w:val="single" w:color="auto" w:sz="4" w:space="0"/>
              <w:left w:val="single" w:color="auto" w:sz="4" w:space="0"/>
              <w:bottom w:val="single" w:color="auto" w:sz="4" w:space="0"/>
              <w:right w:val="single" w:color="auto" w:sz="4" w:space="0"/>
            </w:tcBorders>
            <w:vAlign w:val="center"/>
          </w:tcPr>
          <w:p w14:paraId="17FC8128">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217" w:type="dxa"/>
            <w:vMerge w:val="continue"/>
            <w:tcBorders>
              <w:top w:val="single" w:color="auto" w:sz="4" w:space="0"/>
              <w:left w:val="single" w:color="auto" w:sz="4" w:space="0"/>
              <w:bottom w:val="single" w:color="auto" w:sz="4" w:space="0"/>
              <w:right w:val="single" w:color="auto" w:sz="4" w:space="0"/>
            </w:tcBorders>
            <w:vAlign w:val="center"/>
          </w:tcPr>
          <w:p w14:paraId="6341D9CE">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2820" w:type="dxa"/>
            <w:tcBorders>
              <w:top w:val="single" w:color="000000" w:sz="2" w:space="0"/>
              <w:left w:val="single" w:color="auto" w:sz="4" w:space="0"/>
              <w:bottom w:val="single" w:color="000000" w:sz="2" w:space="0"/>
              <w:right w:val="single" w:color="000000" w:sz="2" w:space="0"/>
            </w:tcBorders>
          </w:tcPr>
          <w:p w14:paraId="349EF42C">
            <w:pPr>
              <w:pStyle w:val="27"/>
              <w:spacing w:before="163" w:line="360" w:lineRule="auto"/>
              <w:ind w:left="312" w:firstLine="516" w:firstLineChars="200"/>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签章要求</w:t>
            </w:r>
          </w:p>
        </w:tc>
        <w:tc>
          <w:tcPr>
            <w:tcW w:w="4833" w:type="dxa"/>
            <w:tcBorders>
              <w:top w:val="single" w:color="000000" w:sz="2" w:space="0"/>
              <w:left w:val="single" w:color="000000" w:sz="2" w:space="0"/>
              <w:bottom w:val="single" w:color="000000" w:sz="2" w:space="0"/>
              <w:right w:val="single" w:color="000000" w:sz="2" w:space="0"/>
            </w:tcBorders>
          </w:tcPr>
          <w:p w14:paraId="6797C06A">
            <w:pPr>
              <w:pStyle w:val="27"/>
              <w:spacing w:before="163" w:line="360" w:lineRule="auto"/>
              <w:ind w:left="114"/>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符合投标文件格式签字盖章要求</w:t>
            </w:r>
          </w:p>
        </w:tc>
      </w:tr>
      <w:tr w14:paraId="67AE55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812" w:type="dxa"/>
            <w:vMerge w:val="continue"/>
            <w:tcBorders>
              <w:top w:val="single" w:color="auto" w:sz="4" w:space="0"/>
              <w:left w:val="single" w:color="auto" w:sz="4" w:space="0"/>
              <w:bottom w:val="single" w:color="auto" w:sz="4" w:space="0"/>
              <w:right w:val="single" w:color="auto" w:sz="4" w:space="0"/>
            </w:tcBorders>
            <w:vAlign w:val="center"/>
          </w:tcPr>
          <w:p w14:paraId="50A59AEA">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217" w:type="dxa"/>
            <w:vMerge w:val="continue"/>
            <w:tcBorders>
              <w:top w:val="single" w:color="auto" w:sz="4" w:space="0"/>
              <w:left w:val="single" w:color="auto" w:sz="4" w:space="0"/>
              <w:bottom w:val="single" w:color="auto" w:sz="4" w:space="0"/>
              <w:right w:val="single" w:color="auto" w:sz="4" w:space="0"/>
            </w:tcBorders>
            <w:vAlign w:val="center"/>
          </w:tcPr>
          <w:p w14:paraId="58F1A723">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2820" w:type="dxa"/>
            <w:tcBorders>
              <w:top w:val="single" w:color="000000" w:sz="2" w:space="0"/>
              <w:left w:val="single" w:color="auto" w:sz="4" w:space="0"/>
              <w:bottom w:val="single" w:color="000000" w:sz="2" w:space="0"/>
              <w:right w:val="single" w:color="000000" w:sz="2" w:space="0"/>
            </w:tcBorders>
          </w:tcPr>
          <w:p w14:paraId="00DC4767">
            <w:pPr>
              <w:pStyle w:val="27"/>
              <w:spacing w:before="161" w:line="360" w:lineRule="auto"/>
              <w:ind w:left="627"/>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磋商文件格式</w:t>
            </w:r>
          </w:p>
        </w:tc>
        <w:tc>
          <w:tcPr>
            <w:tcW w:w="4833" w:type="dxa"/>
            <w:tcBorders>
              <w:top w:val="single" w:color="000000" w:sz="2" w:space="0"/>
              <w:left w:val="single" w:color="000000" w:sz="2" w:space="0"/>
              <w:bottom w:val="single" w:color="000000" w:sz="2" w:space="0"/>
              <w:right w:val="single" w:color="000000" w:sz="2" w:space="0"/>
            </w:tcBorders>
          </w:tcPr>
          <w:p w14:paraId="65AD32F5">
            <w:pPr>
              <w:pStyle w:val="27"/>
              <w:spacing w:before="161" w:line="360" w:lineRule="auto"/>
              <w:ind w:left="114"/>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符合第六章“竞争性磋商响应文件格式</w:t>
            </w:r>
            <w:r>
              <w:rPr>
                <w:rFonts w:hint="eastAsia" w:ascii="仿宋" w:hAnsi="仿宋" w:eastAsia="仿宋" w:cs="仿宋"/>
                <w:spacing w:val="-70"/>
                <w:sz w:val="24"/>
                <w:szCs w:val="24"/>
                <w:highlight w:val="none"/>
              </w:rPr>
              <w:t xml:space="preserve"> </w:t>
            </w:r>
            <w:r>
              <w:rPr>
                <w:rFonts w:hint="eastAsia" w:ascii="仿宋" w:hAnsi="仿宋" w:eastAsia="仿宋" w:cs="仿宋"/>
                <w:spacing w:val="8"/>
                <w:sz w:val="24"/>
                <w:szCs w:val="24"/>
                <w:highlight w:val="none"/>
              </w:rPr>
              <w:t>”的要求</w:t>
            </w:r>
          </w:p>
        </w:tc>
      </w:tr>
      <w:tr w14:paraId="0163EC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812" w:type="dxa"/>
            <w:vMerge w:val="continue"/>
            <w:tcBorders>
              <w:top w:val="single" w:color="auto" w:sz="4" w:space="0"/>
              <w:left w:val="single" w:color="auto" w:sz="4" w:space="0"/>
              <w:bottom w:val="single" w:color="auto" w:sz="4" w:space="0"/>
              <w:right w:val="single" w:color="auto" w:sz="4" w:space="0"/>
            </w:tcBorders>
            <w:vAlign w:val="center"/>
          </w:tcPr>
          <w:p w14:paraId="4DD2C1A3">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217" w:type="dxa"/>
            <w:vMerge w:val="continue"/>
            <w:tcBorders>
              <w:top w:val="single" w:color="auto" w:sz="4" w:space="0"/>
              <w:left w:val="single" w:color="auto" w:sz="4" w:space="0"/>
              <w:bottom w:val="single" w:color="auto" w:sz="4" w:space="0"/>
              <w:right w:val="single" w:color="auto" w:sz="4" w:space="0"/>
            </w:tcBorders>
            <w:vAlign w:val="center"/>
          </w:tcPr>
          <w:p w14:paraId="38D537FB">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2820" w:type="dxa"/>
            <w:tcBorders>
              <w:top w:val="single" w:color="000000" w:sz="2" w:space="0"/>
              <w:left w:val="single" w:color="auto" w:sz="4" w:space="0"/>
              <w:bottom w:val="single" w:color="000000" w:sz="2" w:space="0"/>
              <w:right w:val="single" w:color="000000" w:sz="2" w:space="0"/>
            </w:tcBorders>
          </w:tcPr>
          <w:p w14:paraId="27EAD90C">
            <w:pPr>
              <w:pStyle w:val="27"/>
              <w:spacing w:before="161" w:line="360" w:lineRule="auto"/>
              <w:ind w:left="837"/>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报价唯一</w:t>
            </w:r>
          </w:p>
        </w:tc>
        <w:tc>
          <w:tcPr>
            <w:tcW w:w="4833" w:type="dxa"/>
            <w:tcBorders>
              <w:top w:val="single" w:color="000000" w:sz="2" w:space="0"/>
              <w:left w:val="single" w:color="000000" w:sz="2" w:space="0"/>
              <w:bottom w:val="single" w:color="000000" w:sz="2" w:space="0"/>
              <w:right w:val="single" w:color="000000" w:sz="2" w:space="0"/>
            </w:tcBorders>
          </w:tcPr>
          <w:p w14:paraId="555DF4BC">
            <w:pPr>
              <w:pStyle w:val="27"/>
              <w:spacing w:before="161" w:line="360" w:lineRule="auto"/>
              <w:ind w:left="125"/>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只能有一个有效报价</w:t>
            </w:r>
          </w:p>
        </w:tc>
      </w:tr>
      <w:tr w14:paraId="71C6E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12" w:type="dxa"/>
            <w:vMerge w:val="restart"/>
            <w:tcBorders>
              <w:top w:val="single" w:color="auto" w:sz="4" w:space="0"/>
              <w:left w:val="single" w:color="auto" w:sz="4" w:space="0"/>
              <w:right w:val="single" w:color="auto" w:sz="4" w:space="0"/>
            </w:tcBorders>
          </w:tcPr>
          <w:p w14:paraId="3EF93EE7">
            <w:pPr>
              <w:spacing w:line="360" w:lineRule="auto"/>
              <w:rPr>
                <w:rFonts w:hint="eastAsia" w:ascii="仿宋" w:hAnsi="仿宋" w:eastAsia="仿宋" w:cs="仿宋"/>
                <w:sz w:val="24"/>
                <w:szCs w:val="24"/>
                <w:highlight w:val="none"/>
              </w:rPr>
            </w:pPr>
          </w:p>
          <w:p w14:paraId="2A82C9A6">
            <w:pPr>
              <w:spacing w:line="360" w:lineRule="auto"/>
              <w:rPr>
                <w:rFonts w:hint="eastAsia" w:ascii="仿宋" w:hAnsi="仿宋" w:eastAsia="仿宋" w:cs="仿宋"/>
                <w:sz w:val="22"/>
                <w:szCs w:val="24"/>
                <w:highlight w:val="none"/>
              </w:rPr>
            </w:pPr>
          </w:p>
          <w:p w14:paraId="1B2F305A">
            <w:pPr>
              <w:spacing w:line="360" w:lineRule="auto"/>
              <w:rPr>
                <w:rFonts w:hint="eastAsia" w:ascii="仿宋" w:hAnsi="仿宋" w:eastAsia="仿宋" w:cs="仿宋"/>
                <w:sz w:val="22"/>
                <w:szCs w:val="24"/>
                <w:highlight w:val="none"/>
              </w:rPr>
            </w:pPr>
          </w:p>
          <w:p w14:paraId="12E9DC58">
            <w:pPr>
              <w:spacing w:line="360" w:lineRule="auto"/>
              <w:rPr>
                <w:rFonts w:hint="eastAsia" w:ascii="仿宋" w:hAnsi="仿宋" w:eastAsia="仿宋" w:cs="仿宋"/>
                <w:sz w:val="22"/>
                <w:szCs w:val="24"/>
                <w:highlight w:val="none"/>
              </w:rPr>
            </w:pPr>
          </w:p>
          <w:p w14:paraId="15DB8B86">
            <w:pPr>
              <w:spacing w:line="360" w:lineRule="auto"/>
              <w:rPr>
                <w:rFonts w:hint="eastAsia" w:ascii="仿宋" w:hAnsi="仿宋" w:eastAsia="仿宋" w:cs="仿宋"/>
                <w:sz w:val="22"/>
                <w:szCs w:val="24"/>
                <w:highlight w:val="none"/>
              </w:rPr>
            </w:pPr>
          </w:p>
          <w:p w14:paraId="1A46A479">
            <w:pPr>
              <w:spacing w:line="360" w:lineRule="auto"/>
              <w:rPr>
                <w:rFonts w:hint="eastAsia" w:ascii="仿宋" w:hAnsi="仿宋" w:eastAsia="仿宋" w:cs="仿宋"/>
                <w:sz w:val="22"/>
                <w:szCs w:val="24"/>
                <w:highlight w:val="none"/>
              </w:rPr>
            </w:pPr>
          </w:p>
          <w:p w14:paraId="7BEAEE14">
            <w:pPr>
              <w:spacing w:line="360" w:lineRule="auto"/>
              <w:rPr>
                <w:rFonts w:hint="eastAsia" w:ascii="仿宋" w:hAnsi="仿宋" w:eastAsia="仿宋" w:cs="仿宋"/>
                <w:sz w:val="22"/>
                <w:szCs w:val="24"/>
                <w:highlight w:val="none"/>
              </w:rPr>
            </w:pPr>
          </w:p>
          <w:p w14:paraId="293D82F5">
            <w:pPr>
              <w:spacing w:line="360" w:lineRule="auto"/>
              <w:rPr>
                <w:rFonts w:hint="eastAsia" w:ascii="仿宋" w:hAnsi="仿宋" w:eastAsia="仿宋" w:cs="仿宋"/>
                <w:sz w:val="22"/>
                <w:szCs w:val="24"/>
                <w:highlight w:val="none"/>
              </w:rPr>
            </w:pPr>
          </w:p>
          <w:p w14:paraId="3BCB4E80">
            <w:pPr>
              <w:pStyle w:val="27"/>
              <w:spacing w:before="65" w:line="360" w:lineRule="auto"/>
              <w:ind w:left="118"/>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2.1.2</w:t>
            </w:r>
          </w:p>
        </w:tc>
        <w:tc>
          <w:tcPr>
            <w:tcW w:w="1217" w:type="dxa"/>
            <w:vMerge w:val="restart"/>
            <w:tcBorders>
              <w:top w:val="single" w:color="auto" w:sz="4" w:space="0"/>
              <w:left w:val="single" w:color="auto" w:sz="4" w:space="0"/>
              <w:right w:val="single" w:color="auto" w:sz="4" w:space="0"/>
            </w:tcBorders>
          </w:tcPr>
          <w:p w14:paraId="30D1B1F5">
            <w:pPr>
              <w:spacing w:line="360" w:lineRule="auto"/>
              <w:jc w:val="center"/>
              <w:rPr>
                <w:rFonts w:hint="eastAsia" w:ascii="仿宋" w:hAnsi="仿宋" w:eastAsia="仿宋" w:cs="仿宋"/>
                <w:sz w:val="24"/>
                <w:szCs w:val="24"/>
                <w:highlight w:val="none"/>
              </w:rPr>
            </w:pPr>
          </w:p>
          <w:p w14:paraId="43D098FC">
            <w:pPr>
              <w:spacing w:line="360" w:lineRule="auto"/>
              <w:jc w:val="center"/>
              <w:rPr>
                <w:rFonts w:hint="eastAsia" w:ascii="仿宋" w:hAnsi="仿宋" w:eastAsia="仿宋" w:cs="仿宋"/>
                <w:sz w:val="22"/>
                <w:szCs w:val="24"/>
                <w:highlight w:val="none"/>
              </w:rPr>
            </w:pPr>
          </w:p>
          <w:p w14:paraId="3F306576">
            <w:pPr>
              <w:spacing w:line="360" w:lineRule="auto"/>
              <w:jc w:val="center"/>
              <w:rPr>
                <w:rFonts w:hint="eastAsia" w:ascii="仿宋" w:hAnsi="仿宋" w:eastAsia="仿宋" w:cs="仿宋"/>
                <w:sz w:val="22"/>
                <w:szCs w:val="24"/>
                <w:highlight w:val="none"/>
              </w:rPr>
            </w:pPr>
          </w:p>
          <w:p w14:paraId="402E3D6F">
            <w:pPr>
              <w:spacing w:line="360" w:lineRule="auto"/>
              <w:jc w:val="center"/>
              <w:rPr>
                <w:rFonts w:hint="eastAsia" w:ascii="仿宋" w:hAnsi="仿宋" w:eastAsia="仿宋" w:cs="仿宋"/>
                <w:sz w:val="22"/>
                <w:szCs w:val="24"/>
                <w:highlight w:val="none"/>
              </w:rPr>
            </w:pPr>
          </w:p>
          <w:p w14:paraId="7BE72BCB">
            <w:pPr>
              <w:spacing w:line="360" w:lineRule="auto"/>
              <w:jc w:val="center"/>
              <w:rPr>
                <w:rFonts w:hint="eastAsia" w:ascii="仿宋" w:hAnsi="仿宋" w:eastAsia="仿宋" w:cs="仿宋"/>
                <w:sz w:val="22"/>
                <w:szCs w:val="24"/>
                <w:highlight w:val="none"/>
              </w:rPr>
            </w:pPr>
          </w:p>
          <w:p w14:paraId="5B5D9747">
            <w:pPr>
              <w:spacing w:line="360" w:lineRule="auto"/>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资格评审</w:t>
            </w:r>
          </w:p>
          <w:p w14:paraId="0DB9E8B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8"/>
                <w:highlight w:val="none"/>
              </w:rPr>
              <w:t>标准</w:t>
            </w:r>
          </w:p>
        </w:tc>
        <w:tc>
          <w:tcPr>
            <w:tcW w:w="2820" w:type="dxa"/>
            <w:tcBorders>
              <w:top w:val="single" w:color="000000" w:sz="2" w:space="0"/>
              <w:left w:val="single" w:color="auto" w:sz="4" w:space="0"/>
              <w:bottom w:val="single" w:color="000000" w:sz="2" w:space="0"/>
              <w:right w:val="single" w:color="000000" w:sz="2" w:space="0"/>
            </w:tcBorders>
          </w:tcPr>
          <w:p w14:paraId="189442A7">
            <w:pPr>
              <w:pStyle w:val="27"/>
              <w:spacing w:before="234" w:line="360" w:lineRule="auto"/>
              <w:ind w:left="845"/>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营业执照</w:t>
            </w:r>
          </w:p>
        </w:tc>
        <w:tc>
          <w:tcPr>
            <w:tcW w:w="4833" w:type="dxa"/>
            <w:tcBorders>
              <w:top w:val="single" w:color="000000" w:sz="2" w:space="0"/>
              <w:left w:val="single" w:color="000000" w:sz="2" w:space="0"/>
              <w:bottom w:val="single" w:color="000000" w:sz="2" w:space="0"/>
              <w:right w:val="single" w:color="000000" w:sz="2" w:space="0"/>
            </w:tcBorders>
          </w:tcPr>
          <w:p w14:paraId="5DBA0F30">
            <w:pPr>
              <w:pStyle w:val="27"/>
              <w:spacing w:before="202" w:line="360" w:lineRule="auto"/>
              <w:ind w:left="114"/>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符合第二章“供应商须知</w:t>
            </w:r>
            <w:r>
              <w:rPr>
                <w:rFonts w:hint="eastAsia" w:ascii="仿宋" w:hAnsi="仿宋" w:eastAsia="仿宋" w:cs="仿宋"/>
                <w:spacing w:val="-67"/>
                <w:sz w:val="24"/>
                <w:szCs w:val="24"/>
                <w:highlight w:val="none"/>
              </w:rPr>
              <w:t xml:space="preserve"> </w:t>
            </w:r>
            <w:r>
              <w:rPr>
                <w:rFonts w:hint="eastAsia" w:ascii="仿宋" w:hAnsi="仿宋" w:eastAsia="仿宋" w:cs="仿宋"/>
                <w:spacing w:val="7"/>
                <w:sz w:val="24"/>
                <w:szCs w:val="24"/>
                <w:highlight w:val="none"/>
              </w:rPr>
              <w:t>”的要求</w:t>
            </w:r>
          </w:p>
        </w:tc>
      </w:tr>
      <w:tr w14:paraId="61FF90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812" w:type="dxa"/>
            <w:vMerge w:val="continue"/>
            <w:tcBorders>
              <w:left w:val="single" w:color="auto" w:sz="4" w:space="0"/>
              <w:right w:val="single" w:color="auto" w:sz="4" w:space="0"/>
            </w:tcBorders>
            <w:vAlign w:val="center"/>
          </w:tcPr>
          <w:p w14:paraId="63CECB40">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217" w:type="dxa"/>
            <w:vMerge w:val="continue"/>
            <w:tcBorders>
              <w:left w:val="single" w:color="auto" w:sz="4" w:space="0"/>
              <w:right w:val="single" w:color="auto" w:sz="4" w:space="0"/>
            </w:tcBorders>
            <w:vAlign w:val="center"/>
          </w:tcPr>
          <w:p w14:paraId="21F9EAB1">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2820" w:type="dxa"/>
            <w:tcBorders>
              <w:top w:val="single" w:color="000000" w:sz="2" w:space="0"/>
              <w:left w:val="single" w:color="auto" w:sz="4" w:space="0"/>
              <w:bottom w:val="single" w:color="000000" w:sz="2" w:space="0"/>
              <w:right w:val="single" w:color="000000" w:sz="2" w:space="0"/>
            </w:tcBorders>
          </w:tcPr>
          <w:p w14:paraId="2C5BADF6">
            <w:pPr>
              <w:pStyle w:val="27"/>
              <w:spacing w:before="214" w:line="360" w:lineRule="auto"/>
              <w:ind w:left="524"/>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健全的财务制度</w:t>
            </w:r>
          </w:p>
        </w:tc>
        <w:tc>
          <w:tcPr>
            <w:tcW w:w="4833" w:type="dxa"/>
            <w:tcBorders>
              <w:top w:val="single" w:color="000000" w:sz="2" w:space="0"/>
              <w:left w:val="single" w:color="000000" w:sz="2" w:space="0"/>
              <w:bottom w:val="single" w:color="000000" w:sz="2" w:space="0"/>
              <w:right w:val="single" w:color="000000" w:sz="2" w:space="0"/>
            </w:tcBorders>
          </w:tcPr>
          <w:p w14:paraId="0E41D209">
            <w:pPr>
              <w:pStyle w:val="27"/>
              <w:spacing w:before="247" w:line="360" w:lineRule="auto"/>
              <w:ind w:left="114"/>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符合第二章“供应商须知</w:t>
            </w:r>
            <w:r>
              <w:rPr>
                <w:rFonts w:hint="eastAsia" w:ascii="仿宋" w:hAnsi="仿宋" w:eastAsia="仿宋" w:cs="仿宋"/>
                <w:spacing w:val="-67"/>
                <w:sz w:val="24"/>
                <w:szCs w:val="24"/>
                <w:highlight w:val="none"/>
              </w:rPr>
              <w:t xml:space="preserve"> </w:t>
            </w:r>
            <w:r>
              <w:rPr>
                <w:rFonts w:hint="eastAsia" w:ascii="仿宋" w:hAnsi="仿宋" w:eastAsia="仿宋" w:cs="仿宋"/>
                <w:spacing w:val="7"/>
                <w:sz w:val="24"/>
                <w:szCs w:val="24"/>
                <w:highlight w:val="none"/>
              </w:rPr>
              <w:t>”的要求</w:t>
            </w:r>
          </w:p>
        </w:tc>
      </w:tr>
      <w:tr w14:paraId="300100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0" w:hRule="atLeast"/>
        </w:trPr>
        <w:tc>
          <w:tcPr>
            <w:tcW w:w="812" w:type="dxa"/>
            <w:vMerge w:val="continue"/>
            <w:tcBorders>
              <w:left w:val="single" w:color="auto" w:sz="4" w:space="0"/>
              <w:right w:val="single" w:color="auto" w:sz="4" w:space="0"/>
            </w:tcBorders>
            <w:vAlign w:val="center"/>
          </w:tcPr>
          <w:p w14:paraId="20E74ACB">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217" w:type="dxa"/>
            <w:vMerge w:val="continue"/>
            <w:tcBorders>
              <w:left w:val="single" w:color="auto" w:sz="4" w:space="0"/>
              <w:right w:val="single" w:color="auto" w:sz="4" w:space="0"/>
            </w:tcBorders>
            <w:vAlign w:val="center"/>
          </w:tcPr>
          <w:p w14:paraId="5C500D82">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2820" w:type="dxa"/>
            <w:tcBorders>
              <w:top w:val="single" w:color="000000" w:sz="2" w:space="0"/>
              <w:left w:val="single" w:color="auto" w:sz="4" w:space="0"/>
              <w:bottom w:val="single" w:color="000000" w:sz="2" w:space="0"/>
              <w:right w:val="single" w:color="000000" w:sz="2" w:space="0"/>
            </w:tcBorders>
          </w:tcPr>
          <w:p w14:paraId="074EC00D">
            <w:pPr>
              <w:pStyle w:val="27"/>
              <w:spacing w:before="183" w:line="360" w:lineRule="auto"/>
              <w:ind w:right="204"/>
              <w:jc w:val="center"/>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具有履行合同所必需的设备和专业技术能力</w:t>
            </w:r>
          </w:p>
        </w:tc>
        <w:tc>
          <w:tcPr>
            <w:tcW w:w="4833" w:type="dxa"/>
            <w:tcBorders>
              <w:top w:val="single" w:color="000000" w:sz="2" w:space="0"/>
              <w:left w:val="single" w:color="000000" w:sz="2" w:space="0"/>
              <w:bottom w:val="single" w:color="000000" w:sz="2" w:space="0"/>
              <w:right w:val="single" w:color="000000" w:sz="2" w:space="0"/>
            </w:tcBorders>
          </w:tcPr>
          <w:p w14:paraId="04BAFE13">
            <w:pPr>
              <w:spacing w:line="360" w:lineRule="auto"/>
              <w:rPr>
                <w:rFonts w:hint="eastAsia" w:ascii="仿宋" w:hAnsi="仿宋" w:eastAsia="仿宋" w:cs="仿宋"/>
                <w:sz w:val="24"/>
                <w:szCs w:val="24"/>
                <w:highlight w:val="none"/>
              </w:rPr>
            </w:pPr>
          </w:p>
          <w:p w14:paraId="68073075">
            <w:pPr>
              <w:pStyle w:val="27"/>
              <w:spacing w:before="65" w:line="360" w:lineRule="auto"/>
              <w:ind w:left="114"/>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符合第二章“供应商须知</w:t>
            </w:r>
            <w:r>
              <w:rPr>
                <w:rFonts w:hint="eastAsia" w:ascii="仿宋" w:hAnsi="仿宋" w:eastAsia="仿宋" w:cs="仿宋"/>
                <w:spacing w:val="-67"/>
                <w:sz w:val="24"/>
                <w:szCs w:val="24"/>
                <w:highlight w:val="none"/>
              </w:rPr>
              <w:t xml:space="preserve"> </w:t>
            </w:r>
            <w:r>
              <w:rPr>
                <w:rFonts w:hint="eastAsia" w:ascii="仿宋" w:hAnsi="仿宋" w:eastAsia="仿宋" w:cs="仿宋"/>
                <w:spacing w:val="7"/>
                <w:sz w:val="24"/>
                <w:szCs w:val="24"/>
                <w:highlight w:val="none"/>
              </w:rPr>
              <w:t>”的要求</w:t>
            </w:r>
          </w:p>
        </w:tc>
      </w:tr>
      <w:tr w14:paraId="16243F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812" w:type="dxa"/>
            <w:vMerge w:val="continue"/>
            <w:tcBorders>
              <w:left w:val="single" w:color="auto" w:sz="4" w:space="0"/>
              <w:right w:val="single" w:color="auto" w:sz="4" w:space="0"/>
            </w:tcBorders>
            <w:vAlign w:val="center"/>
          </w:tcPr>
          <w:p w14:paraId="1B9415EE">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217" w:type="dxa"/>
            <w:vMerge w:val="continue"/>
            <w:tcBorders>
              <w:left w:val="single" w:color="auto" w:sz="4" w:space="0"/>
              <w:right w:val="single" w:color="auto" w:sz="4" w:space="0"/>
            </w:tcBorders>
            <w:vAlign w:val="center"/>
          </w:tcPr>
          <w:p w14:paraId="5712B8E9">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2820" w:type="dxa"/>
            <w:tcBorders>
              <w:top w:val="single" w:color="000000" w:sz="2" w:space="0"/>
              <w:left w:val="single" w:color="auto" w:sz="4" w:space="0"/>
              <w:bottom w:val="single" w:color="000000" w:sz="2" w:space="0"/>
              <w:right w:val="single" w:color="000000" w:sz="2" w:space="0"/>
            </w:tcBorders>
          </w:tcPr>
          <w:p w14:paraId="245882D4">
            <w:pPr>
              <w:pStyle w:val="27"/>
              <w:spacing w:before="200" w:line="360" w:lineRule="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纳税证明及社保证明</w:t>
            </w:r>
          </w:p>
        </w:tc>
        <w:tc>
          <w:tcPr>
            <w:tcW w:w="4833" w:type="dxa"/>
            <w:tcBorders>
              <w:top w:val="single" w:color="000000" w:sz="2" w:space="0"/>
              <w:left w:val="single" w:color="000000" w:sz="2" w:space="0"/>
              <w:bottom w:val="single" w:color="000000" w:sz="2" w:space="0"/>
              <w:right w:val="single" w:color="000000" w:sz="2" w:space="0"/>
            </w:tcBorders>
          </w:tcPr>
          <w:p w14:paraId="49A44BEA">
            <w:pPr>
              <w:pStyle w:val="27"/>
              <w:spacing w:before="233" w:line="360" w:lineRule="auto"/>
              <w:ind w:left="114"/>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符合第二章“供应商须知</w:t>
            </w:r>
            <w:r>
              <w:rPr>
                <w:rFonts w:hint="eastAsia" w:ascii="仿宋" w:hAnsi="仿宋" w:eastAsia="仿宋" w:cs="仿宋"/>
                <w:spacing w:val="-67"/>
                <w:sz w:val="24"/>
                <w:szCs w:val="24"/>
                <w:highlight w:val="none"/>
              </w:rPr>
              <w:t xml:space="preserve"> </w:t>
            </w:r>
            <w:r>
              <w:rPr>
                <w:rFonts w:hint="eastAsia" w:ascii="仿宋" w:hAnsi="仿宋" w:eastAsia="仿宋" w:cs="仿宋"/>
                <w:spacing w:val="7"/>
                <w:sz w:val="24"/>
                <w:szCs w:val="24"/>
                <w:highlight w:val="none"/>
              </w:rPr>
              <w:t>”的要求</w:t>
            </w:r>
          </w:p>
        </w:tc>
      </w:tr>
      <w:tr w14:paraId="437E18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trPr>
        <w:tc>
          <w:tcPr>
            <w:tcW w:w="812" w:type="dxa"/>
            <w:vMerge w:val="continue"/>
            <w:tcBorders>
              <w:left w:val="single" w:color="auto" w:sz="4" w:space="0"/>
              <w:right w:val="single" w:color="auto" w:sz="4" w:space="0"/>
            </w:tcBorders>
            <w:vAlign w:val="center"/>
          </w:tcPr>
          <w:p w14:paraId="46DE7268">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217" w:type="dxa"/>
            <w:vMerge w:val="continue"/>
            <w:tcBorders>
              <w:left w:val="single" w:color="auto" w:sz="4" w:space="0"/>
              <w:right w:val="single" w:color="auto" w:sz="4" w:space="0"/>
            </w:tcBorders>
            <w:vAlign w:val="center"/>
          </w:tcPr>
          <w:p w14:paraId="4D606343">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2820" w:type="dxa"/>
            <w:tcBorders>
              <w:top w:val="single" w:color="000000" w:sz="2" w:space="0"/>
              <w:left w:val="single" w:color="auto" w:sz="4" w:space="0"/>
              <w:bottom w:val="single" w:color="000000" w:sz="2" w:space="0"/>
              <w:right w:val="single" w:color="000000" w:sz="2" w:space="0"/>
            </w:tcBorders>
          </w:tcPr>
          <w:p w14:paraId="35277DAC">
            <w:pPr>
              <w:pStyle w:val="27"/>
              <w:spacing w:before="215" w:line="360" w:lineRule="auto"/>
              <w:ind w:left="628"/>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重大违法记录</w:t>
            </w:r>
          </w:p>
        </w:tc>
        <w:tc>
          <w:tcPr>
            <w:tcW w:w="4833" w:type="dxa"/>
            <w:tcBorders>
              <w:top w:val="single" w:color="000000" w:sz="2" w:space="0"/>
              <w:left w:val="single" w:color="000000" w:sz="2" w:space="0"/>
              <w:bottom w:val="single" w:color="000000" w:sz="2" w:space="0"/>
              <w:right w:val="single" w:color="000000" w:sz="2" w:space="0"/>
            </w:tcBorders>
          </w:tcPr>
          <w:p w14:paraId="54AB20A7">
            <w:pPr>
              <w:pStyle w:val="27"/>
              <w:spacing w:before="248" w:line="360" w:lineRule="auto"/>
              <w:ind w:left="114"/>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符合第二章“供应商须知</w:t>
            </w:r>
            <w:r>
              <w:rPr>
                <w:rFonts w:hint="eastAsia" w:ascii="仿宋" w:hAnsi="仿宋" w:eastAsia="仿宋" w:cs="仿宋"/>
                <w:spacing w:val="-67"/>
                <w:sz w:val="24"/>
                <w:szCs w:val="24"/>
                <w:highlight w:val="none"/>
              </w:rPr>
              <w:t xml:space="preserve"> </w:t>
            </w:r>
            <w:r>
              <w:rPr>
                <w:rFonts w:hint="eastAsia" w:ascii="仿宋" w:hAnsi="仿宋" w:eastAsia="仿宋" w:cs="仿宋"/>
                <w:spacing w:val="7"/>
                <w:sz w:val="24"/>
                <w:szCs w:val="24"/>
                <w:highlight w:val="none"/>
              </w:rPr>
              <w:t>”的要求</w:t>
            </w:r>
          </w:p>
        </w:tc>
      </w:tr>
      <w:tr w14:paraId="76218D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812" w:type="dxa"/>
            <w:vMerge w:val="continue"/>
            <w:tcBorders>
              <w:left w:val="single" w:color="auto" w:sz="4" w:space="0"/>
              <w:right w:val="single" w:color="auto" w:sz="4" w:space="0"/>
            </w:tcBorders>
            <w:vAlign w:val="center"/>
          </w:tcPr>
          <w:p w14:paraId="6BA10172">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217" w:type="dxa"/>
            <w:vMerge w:val="continue"/>
            <w:tcBorders>
              <w:left w:val="single" w:color="auto" w:sz="4" w:space="0"/>
              <w:right w:val="single" w:color="auto" w:sz="4" w:space="0"/>
            </w:tcBorders>
            <w:vAlign w:val="center"/>
          </w:tcPr>
          <w:p w14:paraId="26623531">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2820" w:type="dxa"/>
            <w:tcBorders>
              <w:top w:val="single" w:color="000000" w:sz="2" w:space="0"/>
              <w:left w:val="single" w:color="auto" w:sz="4" w:space="0"/>
              <w:bottom w:val="single" w:color="000000" w:sz="2" w:space="0"/>
              <w:right w:val="single" w:color="000000" w:sz="2" w:space="0"/>
            </w:tcBorders>
          </w:tcPr>
          <w:p w14:paraId="511E63ED">
            <w:pPr>
              <w:pStyle w:val="27"/>
              <w:spacing w:before="167" w:line="360" w:lineRule="auto"/>
              <w:ind w:left="839"/>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信用查询</w:t>
            </w:r>
          </w:p>
        </w:tc>
        <w:tc>
          <w:tcPr>
            <w:tcW w:w="4833" w:type="dxa"/>
            <w:tcBorders>
              <w:top w:val="single" w:color="000000" w:sz="2" w:space="0"/>
              <w:left w:val="single" w:color="000000" w:sz="2" w:space="0"/>
              <w:bottom w:val="single" w:color="000000" w:sz="2" w:space="0"/>
              <w:right w:val="single" w:color="000000" w:sz="2" w:space="0"/>
            </w:tcBorders>
          </w:tcPr>
          <w:p w14:paraId="3AFC6152">
            <w:pPr>
              <w:pStyle w:val="27"/>
              <w:spacing w:before="166" w:line="360" w:lineRule="auto"/>
              <w:ind w:left="114"/>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符合第二章“供应商须知</w:t>
            </w:r>
            <w:r>
              <w:rPr>
                <w:rFonts w:hint="eastAsia" w:ascii="仿宋" w:hAnsi="仿宋" w:eastAsia="仿宋" w:cs="仿宋"/>
                <w:spacing w:val="-67"/>
                <w:sz w:val="24"/>
                <w:szCs w:val="24"/>
                <w:highlight w:val="none"/>
              </w:rPr>
              <w:t xml:space="preserve"> </w:t>
            </w:r>
            <w:r>
              <w:rPr>
                <w:rFonts w:hint="eastAsia" w:ascii="仿宋" w:hAnsi="仿宋" w:eastAsia="仿宋" w:cs="仿宋"/>
                <w:spacing w:val="7"/>
                <w:sz w:val="24"/>
                <w:szCs w:val="24"/>
                <w:highlight w:val="none"/>
              </w:rPr>
              <w:t>”的要求</w:t>
            </w:r>
          </w:p>
        </w:tc>
      </w:tr>
      <w:tr w14:paraId="5BAAD3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812" w:type="dxa"/>
            <w:vMerge w:val="continue"/>
            <w:tcBorders>
              <w:left w:val="single" w:color="auto" w:sz="4" w:space="0"/>
              <w:right w:val="single" w:color="auto" w:sz="4" w:space="0"/>
            </w:tcBorders>
            <w:vAlign w:val="center"/>
          </w:tcPr>
          <w:p w14:paraId="065F89CF">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217" w:type="dxa"/>
            <w:vMerge w:val="continue"/>
            <w:tcBorders>
              <w:left w:val="single" w:color="auto" w:sz="4" w:space="0"/>
              <w:right w:val="single" w:color="auto" w:sz="4" w:space="0"/>
            </w:tcBorders>
            <w:vAlign w:val="center"/>
          </w:tcPr>
          <w:p w14:paraId="3841FAB2">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2820" w:type="dxa"/>
            <w:tcBorders>
              <w:top w:val="single" w:color="000000" w:sz="2" w:space="0"/>
              <w:left w:val="single" w:color="auto" w:sz="4" w:space="0"/>
              <w:bottom w:val="single" w:color="000000" w:sz="2" w:space="0"/>
              <w:right w:val="single" w:color="000000" w:sz="2" w:space="0"/>
            </w:tcBorders>
          </w:tcPr>
          <w:p w14:paraId="1402BB54">
            <w:pPr>
              <w:pStyle w:val="27"/>
              <w:spacing w:before="167" w:line="360" w:lineRule="auto"/>
              <w:jc w:val="center"/>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食品经营许可证</w:t>
            </w:r>
          </w:p>
        </w:tc>
        <w:tc>
          <w:tcPr>
            <w:tcW w:w="4833" w:type="dxa"/>
            <w:tcBorders>
              <w:top w:val="single" w:color="000000" w:sz="2" w:space="0"/>
              <w:left w:val="single" w:color="000000" w:sz="2" w:space="0"/>
              <w:bottom w:val="single" w:color="000000" w:sz="2" w:space="0"/>
              <w:right w:val="single" w:color="000000" w:sz="2" w:space="0"/>
            </w:tcBorders>
          </w:tcPr>
          <w:p w14:paraId="14D236CA">
            <w:pPr>
              <w:pStyle w:val="27"/>
              <w:spacing w:before="166" w:line="360" w:lineRule="auto"/>
              <w:ind w:left="114"/>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符合第二章“供应商须知</w:t>
            </w:r>
            <w:r>
              <w:rPr>
                <w:rFonts w:hint="eastAsia" w:ascii="仿宋" w:hAnsi="仿宋" w:eastAsia="仿宋" w:cs="仿宋"/>
                <w:spacing w:val="-67"/>
                <w:sz w:val="24"/>
                <w:szCs w:val="24"/>
                <w:highlight w:val="none"/>
              </w:rPr>
              <w:t xml:space="preserve"> </w:t>
            </w:r>
            <w:r>
              <w:rPr>
                <w:rFonts w:hint="eastAsia" w:ascii="仿宋" w:hAnsi="仿宋" w:eastAsia="仿宋" w:cs="仿宋"/>
                <w:spacing w:val="7"/>
                <w:sz w:val="24"/>
                <w:szCs w:val="24"/>
                <w:highlight w:val="none"/>
              </w:rPr>
              <w:t>”的要求</w:t>
            </w:r>
          </w:p>
        </w:tc>
      </w:tr>
      <w:tr w14:paraId="40EFA1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812" w:type="dxa"/>
            <w:vMerge w:val="continue"/>
            <w:tcBorders>
              <w:left w:val="single" w:color="auto" w:sz="4" w:space="0"/>
              <w:bottom w:val="single" w:color="auto" w:sz="4" w:space="0"/>
              <w:right w:val="single" w:color="auto" w:sz="4" w:space="0"/>
            </w:tcBorders>
            <w:vAlign w:val="center"/>
          </w:tcPr>
          <w:p w14:paraId="11182472">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217" w:type="dxa"/>
            <w:vMerge w:val="continue"/>
            <w:tcBorders>
              <w:left w:val="single" w:color="auto" w:sz="4" w:space="0"/>
              <w:bottom w:val="single" w:color="auto" w:sz="4" w:space="0"/>
              <w:right w:val="single" w:color="auto" w:sz="4" w:space="0"/>
            </w:tcBorders>
            <w:vAlign w:val="center"/>
          </w:tcPr>
          <w:p w14:paraId="730DAC09">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2820" w:type="dxa"/>
            <w:tcBorders>
              <w:top w:val="single" w:color="000000" w:sz="2" w:space="0"/>
              <w:left w:val="single" w:color="auto" w:sz="4" w:space="0"/>
              <w:bottom w:val="single" w:color="000000" w:sz="2" w:space="0"/>
              <w:right w:val="single" w:color="000000" w:sz="2" w:space="0"/>
            </w:tcBorders>
          </w:tcPr>
          <w:p w14:paraId="40511EB8">
            <w:pPr>
              <w:pStyle w:val="27"/>
              <w:spacing w:before="167" w:line="360" w:lineRule="auto"/>
              <w:ind w:left="524"/>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其他资料</w:t>
            </w:r>
          </w:p>
        </w:tc>
        <w:tc>
          <w:tcPr>
            <w:tcW w:w="4833" w:type="dxa"/>
            <w:tcBorders>
              <w:top w:val="single" w:color="000000" w:sz="2" w:space="0"/>
              <w:left w:val="single" w:color="000000" w:sz="2" w:space="0"/>
              <w:bottom w:val="single" w:color="000000" w:sz="2" w:space="0"/>
              <w:right w:val="single" w:color="000000" w:sz="2" w:space="0"/>
            </w:tcBorders>
          </w:tcPr>
          <w:p w14:paraId="0458774D">
            <w:pPr>
              <w:pStyle w:val="27"/>
              <w:spacing w:before="166" w:line="360" w:lineRule="auto"/>
              <w:ind w:left="114"/>
              <w:rPr>
                <w:rFonts w:hint="eastAsia" w:ascii="仿宋" w:hAnsi="仿宋" w:eastAsia="仿宋" w:cs="仿宋"/>
                <w:spacing w:val="7"/>
                <w:sz w:val="24"/>
                <w:szCs w:val="24"/>
                <w:highlight w:val="none"/>
              </w:rPr>
            </w:pPr>
            <w:r>
              <w:rPr>
                <w:rFonts w:hint="eastAsia" w:ascii="仿宋" w:hAnsi="仿宋" w:eastAsia="仿宋" w:cs="仿宋"/>
                <w:spacing w:val="7"/>
                <w:sz w:val="24"/>
                <w:szCs w:val="24"/>
                <w:highlight w:val="none"/>
              </w:rPr>
              <w:t>符合第二章“供应商须知</w:t>
            </w:r>
            <w:r>
              <w:rPr>
                <w:rFonts w:hint="eastAsia" w:ascii="仿宋" w:hAnsi="仿宋" w:eastAsia="仿宋" w:cs="仿宋"/>
                <w:spacing w:val="-67"/>
                <w:sz w:val="24"/>
                <w:szCs w:val="24"/>
                <w:highlight w:val="none"/>
              </w:rPr>
              <w:t xml:space="preserve"> </w:t>
            </w:r>
            <w:r>
              <w:rPr>
                <w:rFonts w:hint="eastAsia" w:ascii="仿宋" w:hAnsi="仿宋" w:eastAsia="仿宋" w:cs="仿宋"/>
                <w:spacing w:val="7"/>
                <w:sz w:val="24"/>
                <w:szCs w:val="24"/>
                <w:highlight w:val="none"/>
              </w:rPr>
              <w:t>”的要求</w:t>
            </w:r>
          </w:p>
        </w:tc>
      </w:tr>
      <w:tr w14:paraId="24EC5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812" w:type="dxa"/>
            <w:vMerge w:val="restart"/>
            <w:tcBorders>
              <w:top w:val="single" w:color="auto" w:sz="4" w:space="0"/>
              <w:left w:val="single" w:color="auto" w:sz="4" w:space="0"/>
              <w:bottom w:val="single" w:color="auto" w:sz="4" w:space="0"/>
              <w:right w:val="single" w:color="auto" w:sz="4" w:space="0"/>
            </w:tcBorders>
          </w:tcPr>
          <w:p w14:paraId="422BCEC6">
            <w:pPr>
              <w:spacing w:line="360" w:lineRule="auto"/>
              <w:rPr>
                <w:rFonts w:hint="eastAsia" w:ascii="仿宋" w:hAnsi="仿宋" w:eastAsia="仿宋" w:cs="仿宋"/>
                <w:sz w:val="24"/>
                <w:szCs w:val="24"/>
                <w:highlight w:val="none"/>
              </w:rPr>
            </w:pPr>
          </w:p>
          <w:p w14:paraId="13432888">
            <w:pPr>
              <w:spacing w:line="360" w:lineRule="auto"/>
              <w:rPr>
                <w:rFonts w:hint="eastAsia" w:ascii="仿宋" w:hAnsi="仿宋" w:eastAsia="仿宋" w:cs="仿宋"/>
                <w:sz w:val="22"/>
                <w:szCs w:val="24"/>
                <w:highlight w:val="none"/>
              </w:rPr>
            </w:pPr>
          </w:p>
          <w:p w14:paraId="3C7CA567">
            <w:pPr>
              <w:spacing w:line="360" w:lineRule="auto"/>
              <w:rPr>
                <w:rFonts w:hint="eastAsia" w:ascii="仿宋" w:hAnsi="仿宋" w:eastAsia="仿宋" w:cs="仿宋"/>
                <w:sz w:val="22"/>
                <w:szCs w:val="24"/>
                <w:highlight w:val="none"/>
              </w:rPr>
            </w:pPr>
          </w:p>
          <w:p w14:paraId="208857BF">
            <w:pPr>
              <w:spacing w:line="360" w:lineRule="auto"/>
              <w:rPr>
                <w:rFonts w:hint="eastAsia" w:ascii="仿宋" w:hAnsi="仿宋" w:eastAsia="仿宋" w:cs="仿宋"/>
                <w:sz w:val="22"/>
                <w:szCs w:val="24"/>
                <w:highlight w:val="none"/>
              </w:rPr>
            </w:pPr>
          </w:p>
          <w:p w14:paraId="1385EDD0">
            <w:pPr>
              <w:spacing w:line="360" w:lineRule="auto"/>
              <w:rPr>
                <w:rFonts w:hint="eastAsia" w:ascii="仿宋" w:hAnsi="仿宋" w:eastAsia="仿宋" w:cs="仿宋"/>
                <w:sz w:val="22"/>
                <w:szCs w:val="24"/>
                <w:highlight w:val="none"/>
              </w:rPr>
            </w:pPr>
          </w:p>
          <w:p w14:paraId="0376A11B">
            <w:pPr>
              <w:pStyle w:val="27"/>
              <w:spacing w:before="65" w:line="360" w:lineRule="auto"/>
              <w:ind w:left="118"/>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2.1.3</w:t>
            </w:r>
          </w:p>
        </w:tc>
        <w:tc>
          <w:tcPr>
            <w:tcW w:w="1217" w:type="dxa"/>
            <w:vMerge w:val="restart"/>
            <w:tcBorders>
              <w:top w:val="single" w:color="auto" w:sz="4" w:space="0"/>
              <w:left w:val="single" w:color="auto" w:sz="4" w:space="0"/>
              <w:bottom w:val="single" w:color="auto" w:sz="4" w:space="0"/>
              <w:right w:val="single" w:color="auto" w:sz="4" w:space="0"/>
            </w:tcBorders>
          </w:tcPr>
          <w:p w14:paraId="5FD290EE">
            <w:pPr>
              <w:spacing w:line="360" w:lineRule="auto"/>
              <w:jc w:val="center"/>
              <w:rPr>
                <w:rFonts w:hint="eastAsia" w:ascii="仿宋" w:hAnsi="仿宋" w:eastAsia="仿宋" w:cs="仿宋"/>
                <w:sz w:val="24"/>
                <w:szCs w:val="24"/>
                <w:highlight w:val="none"/>
              </w:rPr>
            </w:pPr>
          </w:p>
          <w:p w14:paraId="7DD9F938">
            <w:pPr>
              <w:spacing w:line="360" w:lineRule="auto"/>
              <w:jc w:val="center"/>
              <w:rPr>
                <w:rFonts w:hint="eastAsia" w:ascii="仿宋" w:hAnsi="仿宋" w:eastAsia="仿宋" w:cs="仿宋"/>
                <w:sz w:val="22"/>
                <w:szCs w:val="24"/>
                <w:highlight w:val="none"/>
              </w:rPr>
            </w:pPr>
          </w:p>
          <w:p w14:paraId="1BAC147C">
            <w:pPr>
              <w:spacing w:line="360" w:lineRule="auto"/>
              <w:jc w:val="center"/>
              <w:rPr>
                <w:rFonts w:hint="eastAsia" w:ascii="仿宋" w:hAnsi="仿宋" w:eastAsia="仿宋" w:cs="仿宋"/>
                <w:sz w:val="22"/>
                <w:szCs w:val="24"/>
                <w:highlight w:val="none"/>
              </w:rPr>
            </w:pPr>
          </w:p>
          <w:p w14:paraId="33FDC268">
            <w:pPr>
              <w:spacing w:line="360" w:lineRule="auto"/>
              <w:jc w:val="center"/>
              <w:rPr>
                <w:rFonts w:hint="eastAsia" w:ascii="仿宋" w:hAnsi="仿宋" w:eastAsia="仿宋" w:cs="仿宋"/>
                <w:sz w:val="24"/>
                <w:szCs w:val="28"/>
                <w:highlight w:val="none"/>
              </w:rPr>
            </w:pPr>
            <w:r>
              <w:rPr>
                <w:rFonts w:hint="eastAsia" w:ascii="仿宋" w:hAnsi="仿宋" w:eastAsia="仿宋" w:cs="仿宋"/>
                <w:sz w:val="24"/>
                <w:szCs w:val="28"/>
                <w:highlight w:val="none"/>
              </w:rPr>
              <w:t>响应性评</w:t>
            </w:r>
          </w:p>
          <w:p w14:paraId="57948CF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8"/>
                <w:highlight w:val="none"/>
              </w:rPr>
              <w:t>审标准</w:t>
            </w:r>
          </w:p>
        </w:tc>
        <w:tc>
          <w:tcPr>
            <w:tcW w:w="2820" w:type="dxa"/>
            <w:tcBorders>
              <w:top w:val="single" w:color="000000" w:sz="2" w:space="0"/>
              <w:left w:val="single" w:color="auto" w:sz="4" w:space="0"/>
              <w:bottom w:val="single" w:color="000000" w:sz="2" w:space="0"/>
              <w:right w:val="single" w:color="000000" w:sz="2" w:space="0"/>
            </w:tcBorders>
          </w:tcPr>
          <w:p w14:paraId="7A97B42E">
            <w:pPr>
              <w:pStyle w:val="27"/>
              <w:spacing w:before="164" w:line="360" w:lineRule="auto"/>
              <w:ind w:left="838"/>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采购内容</w:t>
            </w:r>
          </w:p>
        </w:tc>
        <w:tc>
          <w:tcPr>
            <w:tcW w:w="4833" w:type="dxa"/>
            <w:tcBorders>
              <w:top w:val="single" w:color="000000" w:sz="2" w:space="0"/>
              <w:left w:val="single" w:color="000000" w:sz="2" w:space="0"/>
              <w:bottom w:val="single" w:color="000000" w:sz="2" w:space="0"/>
              <w:right w:val="single" w:color="000000" w:sz="2" w:space="0"/>
            </w:tcBorders>
          </w:tcPr>
          <w:p w14:paraId="635442DD">
            <w:pPr>
              <w:pStyle w:val="27"/>
              <w:spacing w:before="165" w:line="360" w:lineRule="auto"/>
              <w:ind w:left="114"/>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符合招标文件规定</w:t>
            </w:r>
          </w:p>
        </w:tc>
      </w:tr>
      <w:tr w14:paraId="5DEA56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trPr>
        <w:tc>
          <w:tcPr>
            <w:tcW w:w="812" w:type="dxa"/>
            <w:vMerge w:val="continue"/>
            <w:tcBorders>
              <w:top w:val="single" w:color="auto" w:sz="4" w:space="0"/>
              <w:left w:val="single" w:color="auto" w:sz="4" w:space="0"/>
              <w:bottom w:val="single" w:color="auto" w:sz="4" w:space="0"/>
              <w:right w:val="single" w:color="auto" w:sz="4" w:space="0"/>
            </w:tcBorders>
            <w:vAlign w:val="center"/>
          </w:tcPr>
          <w:p w14:paraId="70F70000">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217" w:type="dxa"/>
            <w:vMerge w:val="continue"/>
            <w:tcBorders>
              <w:top w:val="single" w:color="auto" w:sz="4" w:space="0"/>
              <w:left w:val="single" w:color="auto" w:sz="4" w:space="0"/>
              <w:bottom w:val="single" w:color="auto" w:sz="4" w:space="0"/>
              <w:right w:val="single" w:color="auto" w:sz="4" w:space="0"/>
            </w:tcBorders>
            <w:vAlign w:val="center"/>
          </w:tcPr>
          <w:p w14:paraId="4FEC5322">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2820" w:type="dxa"/>
            <w:tcBorders>
              <w:top w:val="single" w:color="000000" w:sz="2" w:space="0"/>
              <w:left w:val="single" w:color="auto" w:sz="4" w:space="0"/>
              <w:bottom w:val="single" w:color="000000" w:sz="2" w:space="0"/>
              <w:right w:val="single" w:color="000000" w:sz="2" w:space="0"/>
            </w:tcBorders>
          </w:tcPr>
          <w:p w14:paraId="74F0EDB7">
            <w:pPr>
              <w:pStyle w:val="27"/>
              <w:spacing w:before="166" w:line="360" w:lineRule="auto"/>
              <w:ind w:left="839"/>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服务期限</w:t>
            </w:r>
          </w:p>
        </w:tc>
        <w:tc>
          <w:tcPr>
            <w:tcW w:w="4833" w:type="dxa"/>
            <w:tcBorders>
              <w:top w:val="single" w:color="000000" w:sz="2" w:space="0"/>
              <w:left w:val="single" w:color="000000" w:sz="2" w:space="0"/>
              <w:bottom w:val="single" w:color="000000" w:sz="2" w:space="0"/>
              <w:right w:val="single" w:color="000000" w:sz="2" w:space="0"/>
            </w:tcBorders>
          </w:tcPr>
          <w:p w14:paraId="287B9B20">
            <w:pPr>
              <w:pStyle w:val="27"/>
              <w:spacing w:before="166" w:line="360" w:lineRule="auto"/>
              <w:ind w:left="114"/>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符合招标文件规定</w:t>
            </w:r>
          </w:p>
        </w:tc>
      </w:tr>
      <w:tr w14:paraId="547B00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812" w:type="dxa"/>
            <w:vMerge w:val="continue"/>
            <w:tcBorders>
              <w:top w:val="single" w:color="auto" w:sz="4" w:space="0"/>
              <w:left w:val="single" w:color="auto" w:sz="4" w:space="0"/>
              <w:bottom w:val="single" w:color="auto" w:sz="4" w:space="0"/>
              <w:right w:val="single" w:color="auto" w:sz="4" w:space="0"/>
            </w:tcBorders>
            <w:vAlign w:val="center"/>
          </w:tcPr>
          <w:p w14:paraId="62A78151">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217" w:type="dxa"/>
            <w:vMerge w:val="continue"/>
            <w:tcBorders>
              <w:top w:val="single" w:color="auto" w:sz="4" w:space="0"/>
              <w:left w:val="single" w:color="auto" w:sz="4" w:space="0"/>
              <w:bottom w:val="single" w:color="auto" w:sz="4" w:space="0"/>
              <w:right w:val="single" w:color="auto" w:sz="4" w:space="0"/>
            </w:tcBorders>
            <w:vAlign w:val="center"/>
          </w:tcPr>
          <w:p w14:paraId="6CC62A5B">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2820" w:type="dxa"/>
            <w:tcBorders>
              <w:top w:val="single" w:color="000000" w:sz="2" w:space="0"/>
              <w:left w:val="single" w:color="auto" w:sz="4" w:space="0"/>
              <w:bottom w:val="single" w:color="000000" w:sz="2" w:space="0"/>
              <w:right w:val="single" w:color="000000" w:sz="2" w:space="0"/>
            </w:tcBorders>
          </w:tcPr>
          <w:p w14:paraId="2153459C">
            <w:pPr>
              <w:pStyle w:val="27"/>
              <w:spacing w:before="166" w:line="360" w:lineRule="auto"/>
              <w:ind w:left="732"/>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磋商有效期</w:t>
            </w:r>
          </w:p>
        </w:tc>
        <w:tc>
          <w:tcPr>
            <w:tcW w:w="4833" w:type="dxa"/>
            <w:tcBorders>
              <w:top w:val="single" w:color="000000" w:sz="2" w:space="0"/>
              <w:left w:val="single" w:color="000000" w:sz="2" w:space="0"/>
              <w:bottom w:val="single" w:color="000000" w:sz="2" w:space="0"/>
              <w:right w:val="single" w:color="000000" w:sz="2" w:space="0"/>
            </w:tcBorders>
          </w:tcPr>
          <w:p w14:paraId="19AC7963">
            <w:pPr>
              <w:pStyle w:val="27"/>
              <w:spacing w:before="166" w:line="360" w:lineRule="auto"/>
              <w:ind w:left="114"/>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符合招标文件规定</w:t>
            </w:r>
          </w:p>
        </w:tc>
      </w:tr>
      <w:tr w14:paraId="64920B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812" w:type="dxa"/>
            <w:vMerge w:val="continue"/>
            <w:tcBorders>
              <w:top w:val="single" w:color="auto" w:sz="4" w:space="0"/>
              <w:left w:val="single" w:color="auto" w:sz="4" w:space="0"/>
              <w:bottom w:val="single" w:color="auto" w:sz="4" w:space="0"/>
              <w:right w:val="single" w:color="auto" w:sz="4" w:space="0"/>
            </w:tcBorders>
            <w:vAlign w:val="center"/>
          </w:tcPr>
          <w:p w14:paraId="59E7BB51">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217" w:type="dxa"/>
            <w:vMerge w:val="continue"/>
            <w:tcBorders>
              <w:top w:val="single" w:color="auto" w:sz="4" w:space="0"/>
              <w:left w:val="single" w:color="auto" w:sz="4" w:space="0"/>
              <w:bottom w:val="single" w:color="auto" w:sz="4" w:space="0"/>
              <w:right w:val="single" w:color="auto" w:sz="4" w:space="0"/>
            </w:tcBorders>
            <w:vAlign w:val="center"/>
          </w:tcPr>
          <w:p w14:paraId="5983B350">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2820" w:type="dxa"/>
            <w:tcBorders>
              <w:top w:val="single" w:color="000000" w:sz="2" w:space="0"/>
              <w:left w:val="single" w:color="auto" w:sz="4" w:space="0"/>
              <w:bottom w:val="single" w:color="000000" w:sz="2" w:space="0"/>
              <w:right w:val="single" w:color="000000" w:sz="2" w:space="0"/>
            </w:tcBorders>
          </w:tcPr>
          <w:p w14:paraId="0737D31C">
            <w:pPr>
              <w:pStyle w:val="27"/>
              <w:spacing w:before="166" w:line="360" w:lineRule="auto"/>
              <w:ind w:left="840"/>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质量要求</w:t>
            </w:r>
          </w:p>
        </w:tc>
        <w:tc>
          <w:tcPr>
            <w:tcW w:w="4833" w:type="dxa"/>
            <w:tcBorders>
              <w:top w:val="single" w:color="000000" w:sz="2" w:space="0"/>
              <w:left w:val="single" w:color="000000" w:sz="2" w:space="0"/>
              <w:bottom w:val="single" w:color="000000" w:sz="2" w:space="0"/>
              <w:right w:val="single" w:color="000000" w:sz="2" w:space="0"/>
            </w:tcBorders>
          </w:tcPr>
          <w:p w14:paraId="508E17DC">
            <w:pPr>
              <w:pStyle w:val="27"/>
              <w:spacing w:before="166" w:line="360" w:lineRule="auto"/>
              <w:ind w:left="114"/>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符合招标文件规定</w:t>
            </w:r>
          </w:p>
        </w:tc>
      </w:tr>
      <w:tr w14:paraId="22DDB1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812" w:type="dxa"/>
            <w:vMerge w:val="continue"/>
            <w:tcBorders>
              <w:top w:val="single" w:color="auto" w:sz="4" w:space="0"/>
              <w:left w:val="single" w:color="auto" w:sz="4" w:space="0"/>
              <w:bottom w:val="single" w:color="auto" w:sz="4" w:space="0"/>
              <w:right w:val="single" w:color="auto" w:sz="4" w:space="0"/>
            </w:tcBorders>
            <w:vAlign w:val="center"/>
          </w:tcPr>
          <w:p w14:paraId="1F24887D">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217" w:type="dxa"/>
            <w:vMerge w:val="continue"/>
            <w:tcBorders>
              <w:top w:val="single" w:color="auto" w:sz="4" w:space="0"/>
              <w:left w:val="single" w:color="auto" w:sz="4" w:space="0"/>
              <w:bottom w:val="single" w:color="auto" w:sz="4" w:space="0"/>
              <w:right w:val="single" w:color="auto" w:sz="4" w:space="0"/>
            </w:tcBorders>
            <w:vAlign w:val="center"/>
          </w:tcPr>
          <w:p w14:paraId="731AF0AA">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2820" w:type="dxa"/>
            <w:tcBorders>
              <w:top w:val="single" w:color="000000" w:sz="2" w:space="0"/>
              <w:left w:val="single" w:color="auto" w:sz="4" w:space="0"/>
              <w:bottom w:val="single" w:color="000000" w:sz="2" w:space="0"/>
              <w:right w:val="single" w:color="000000" w:sz="2" w:space="0"/>
            </w:tcBorders>
          </w:tcPr>
          <w:p w14:paraId="7BA40EA5">
            <w:pPr>
              <w:pStyle w:val="27"/>
              <w:spacing w:before="171" w:line="360" w:lineRule="auto"/>
              <w:ind w:left="841"/>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投标报价</w:t>
            </w:r>
          </w:p>
        </w:tc>
        <w:tc>
          <w:tcPr>
            <w:tcW w:w="4833" w:type="dxa"/>
            <w:tcBorders>
              <w:top w:val="single" w:color="000000" w:sz="2" w:space="0"/>
              <w:left w:val="single" w:color="000000" w:sz="2" w:space="0"/>
              <w:bottom w:val="single" w:color="000000" w:sz="2" w:space="0"/>
              <w:right w:val="single" w:color="000000" w:sz="2" w:space="0"/>
            </w:tcBorders>
          </w:tcPr>
          <w:p w14:paraId="64D597F7">
            <w:pPr>
              <w:pStyle w:val="27"/>
              <w:spacing w:before="171" w:line="360" w:lineRule="auto"/>
              <w:ind w:left="116"/>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不得超出招标控制价</w:t>
            </w:r>
          </w:p>
        </w:tc>
      </w:tr>
    </w:tbl>
    <w:p w14:paraId="233B91BE">
      <w:pPr>
        <w:spacing w:before="48" w:line="360" w:lineRule="auto"/>
        <w:ind w:left="461"/>
        <w:outlineLvl w:val="1"/>
        <w:rPr>
          <w:rFonts w:hint="eastAsia" w:ascii="仿宋" w:hAnsi="仿宋" w:eastAsia="仿宋" w:cs="仿宋"/>
          <w:sz w:val="24"/>
          <w:szCs w:val="24"/>
          <w:highlight w:val="none"/>
        </w:rPr>
      </w:pPr>
      <w:bookmarkStart w:id="40" w:name="_Toc21122"/>
      <w:bookmarkEnd w:id="40"/>
      <w:bookmarkStart w:id="41" w:name="_Toc4354"/>
      <w:r>
        <w:rPr>
          <w:rFonts w:hint="eastAsia" w:ascii="仿宋" w:hAnsi="仿宋" w:eastAsia="仿宋" w:cs="仿宋"/>
          <w:spacing w:val="-4"/>
          <w:sz w:val="24"/>
          <w:szCs w:val="24"/>
          <w:highlight w:val="none"/>
        </w:rPr>
        <w:t>1.</w:t>
      </w:r>
      <w:bookmarkEnd w:id="41"/>
      <w:r>
        <w:rPr>
          <w:rFonts w:hint="eastAsia" w:ascii="仿宋" w:hAnsi="仿宋" w:eastAsia="仿宋" w:cs="仿宋"/>
          <w:spacing w:val="15"/>
          <w:sz w:val="24"/>
          <w:szCs w:val="24"/>
          <w:highlight w:val="none"/>
        </w:rPr>
        <w:t xml:space="preserve"> </w:t>
      </w:r>
      <w:r>
        <w:rPr>
          <w:rFonts w:hint="eastAsia" w:ascii="仿宋" w:hAnsi="仿宋" w:eastAsia="仿宋" w:cs="仿宋"/>
          <w:spacing w:val="-4"/>
          <w:sz w:val="24"/>
          <w:szCs w:val="24"/>
          <w:highlight w:val="none"/>
        </w:rPr>
        <w:t>评标方法</w:t>
      </w:r>
    </w:p>
    <w:p w14:paraId="794497DC">
      <w:pPr>
        <w:spacing w:line="360" w:lineRule="auto"/>
        <w:ind w:firstLine="500"/>
        <w:rPr>
          <w:rFonts w:hint="eastAsia" w:ascii="仿宋" w:hAnsi="仿宋" w:eastAsia="仿宋" w:cs="仿宋"/>
          <w:sz w:val="24"/>
          <w:szCs w:val="24"/>
          <w:highlight w:val="none"/>
        </w:rPr>
      </w:pPr>
      <w:r>
        <w:rPr>
          <w:rFonts w:hint="eastAsia" w:ascii="仿宋" w:hAnsi="仿宋" w:eastAsia="仿宋" w:cs="仿宋"/>
          <w:sz w:val="24"/>
          <w:szCs w:val="24"/>
          <w:highlight w:val="none"/>
        </w:rPr>
        <w:t>本次评标采用综合评估法。磋商小组对满足招标文件实质性要求的投标文件，按照本章规定的评分标准进行打分，并按得分由高到低顺序推荐3名中标候选人，标明顺序。综合得分相同时，以价格得分高的为靠前排名。</w:t>
      </w:r>
    </w:p>
    <w:tbl>
      <w:tblPr>
        <w:tblStyle w:val="34"/>
        <w:tblW w:w="9694" w:type="dxa"/>
        <w:tblInd w:w="2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2"/>
        <w:gridCol w:w="1014"/>
        <w:gridCol w:w="848"/>
        <w:gridCol w:w="6870"/>
      </w:tblGrid>
      <w:tr w14:paraId="7CC88D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0" w:hRule="atLeast"/>
        </w:trPr>
        <w:tc>
          <w:tcPr>
            <w:tcW w:w="962" w:type="dxa"/>
            <w:tcBorders>
              <w:top w:val="single" w:color="000000" w:sz="2" w:space="0"/>
              <w:left w:val="single" w:color="000000" w:sz="2" w:space="0"/>
              <w:bottom w:val="single" w:color="000000" w:sz="2" w:space="0"/>
              <w:right w:val="single" w:color="000000" w:sz="2" w:space="0"/>
            </w:tcBorders>
            <w:vAlign w:val="center"/>
          </w:tcPr>
          <w:p w14:paraId="471AC361">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2.2.1</w:t>
            </w:r>
          </w:p>
        </w:tc>
        <w:tc>
          <w:tcPr>
            <w:tcW w:w="1862" w:type="dxa"/>
            <w:gridSpan w:val="2"/>
            <w:tcBorders>
              <w:top w:val="single" w:color="000000" w:sz="2" w:space="0"/>
              <w:left w:val="single" w:color="000000" w:sz="2" w:space="0"/>
              <w:bottom w:val="single" w:color="000000" w:sz="2" w:space="0"/>
              <w:right w:val="single" w:color="000000" w:sz="2" w:space="0"/>
            </w:tcBorders>
            <w:vAlign w:val="center"/>
          </w:tcPr>
          <w:p w14:paraId="098E97C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分值组成</w:t>
            </w:r>
          </w:p>
          <w:p w14:paraId="5458B89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（总分100分）</w:t>
            </w:r>
          </w:p>
        </w:tc>
        <w:tc>
          <w:tcPr>
            <w:tcW w:w="6870" w:type="dxa"/>
            <w:tcBorders>
              <w:top w:val="single" w:color="000000" w:sz="2" w:space="0"/>
              <w:left w:val="single" w:color="000000" w:sz="2" w:space="0"/>
              <w:bottom w:val="single" w:color="000000" w:sz="2" w:space="0"/>
              <w:right w:val="single" w:color="000000" w:sz="2" w:space="0"/>
            </w:tcBorders>
            <w:vAlign w:val="center"/>
          </w:tcPr>
          <w:p w14:paraId="009CC86C">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报 价 标：30分</w:t>
            </w:r>
          </w:p>
          <w:p w14:paraId="3A429F76">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技 术 标：50分</w:t>
            </w:r>
          </w:p>
          <w:p w14:paraId="73B41A4E">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综 合 标：20分</w:t>
            </w:r>
          </w:p>
        </w:tc>
      </w:tr>
      <w:tr w14:paraId="636933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962" w:type="dxa"/>
            <w:tcBorders>
              <w:top w:val="single" w:color="000000" w:sz="2" w:space="0"/>
              <w:left w:val="single" w:color="000000" w:sz="2" w:space="0"/>
              <w:bottom w:val="single" w:color="000000" w:sz="2" w:space="0"/>
              <w:right w:val="single" w:color="000000" w:sz="2" w:space="0"/>
            </w:tcBorders>
            <w:vAlign w:val="center"/>
          </w:tcPr>
          <w:p w14:paraId="15398B6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条款号</w:t>
            </w:r>
          </w:p>
        </w:tc>
        <w:tc>
          <w:tcPr>
            <w:tcW w:w="1862" w:type="dxa"/>
            <w:gridSpan w:val="2"/>
            <w:tcBorders>
              <w:top w:val="single" w:color="000000" w:sz="2" w:space="0"/>
              <w:left w:val="single" w:color="000000" w:sz="2" w:space="0"/>
              <w:bottom w:val="single" w:color="000000" w:sz="2" w:space="0"/>
              <w:right w:val="single" w:color="000000" w:sz="2" w:space="0"/>
            </w:tcBorders>
            <w:vAlign w:val="center"/>
          </w:tcPr>
          <w:p w14:paraId="16F8AD48">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评分因素</w:t>
            </w:r>
          </w:p>
        </w:tc>
        <w:tc>
          <w:tcPr>
            <w:tcW w:w="6870" w:type="dxa"/>
            <w:tcBorders>
              <w:top w:val="single" w:color="000000" w:sz="2" w:space="0"/>
              <w:left w:val="single" w:color="000000" w:sz="2" w:space="0"/>
              <w:bottom w:val="single" w:color="000000" w:sz="2" w:space="0"/>
              <w:right w:val="single" w:color="000000" w:sz="2" w:space="0"/>
            </w:tcBorders>
            <w:vAlign w:val="center"/>
          </w:tcPr>
          <w:p w14:paraId="6A398BD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评分标准</w:t>
            </w:r>
          </w:p>
        </w:tc>
      </w:tr>
      <w:tr w14:paraId="6A6823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62" w:type="dxa"/>
            <w:tcBorders>
              <w:top w:val="single" w:color="000000" w:sz="2" w:space="0"/>
              <w:left w:val="single" w:color="000000" w:sz="2" w:space="0"/>
              <w:bottom w:val="single" w:color="000000" w:sz="2" w:space="0"/>
              <w:right w:val="single" w:color="000000" w:sz="2" w:space="0"/>
            </w:tcBorders>
            <w:vAlign w:val="center"/>
          </w:tcPr>
          <w:p w14:paraId="5CF68D5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评审因素</w:t>
            </w:r>
          </w:p>
        </w:tc>
        <w:tc>
          <w:tcPr>
            <w:tcW w:w="1014" w:type="dxa"/>
            <w:tcBorders>
              <w:top w:val="single" w:color="000000" w:sz="2" w:space="0"/>
              <w:left w:val="single" w:color="000000" w:sz="2" w:space="0"/>
              <w:bottom w:val="single" w:color="000000" w:sz="2" w:space="0"/>
              <w:right w:val="single" w:color="000000" w:sz="2" w:space="0"/>
            </w:tcBorders>
            <w:vAlign w:val="center"/>
          </w:tcPr>
          <w:p w14:paraId="0D2E61F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评审内容</w:t>
            </w:r>
          </w:p>
        </w:tc>
        <w:tc>
          <w:tcPr>
            <w:tcW w:w="7718" w:type="dxa"/>
            <w:gridSpan w:val="2"/>
            <w:tcBorders>
              <w:top w:val="single" w:color="000000" w:sz="2" w:space="0"/>
              <w:left w:val="single" w:color="000000" w:sz="2" w:space="0"/>
              <w:bottom w:val="single" w:color="000000" w:sz="2" w:space="0"/>
              <w:right w:val="single" w:color="000000" w:sz="2" w:space="0"/>
            </w:tcBorders>
            <w:vAlign w:val="center"/>
          </w:tcPr>
          <w:p w14:paraId="369ABEE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评分标准</w:t>
            </w:r>
          </w:p>
        </w:tc>
      </w:tr>
      <w:tr w14:paraId="5B237B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62" w:type="dxa"/>
            <w:tcBorders>
              <w:top w:val="single" w:color="000000" w:sz="2" w:space="0"/>
              <w:left w:val="single" w:color="000000" w:sz="2" w:space="0"/>
              <w:bottom w:val="single" w:color="000000" w:sz="2" w:space="0"/>
              <w:right w:val="single" w:color="000000" w:sz="2" w:space="0"/>
            </w:tcBorders>
            <w:vAlign w:val="center"/>
          </w:tcPr>
          <w:p w14:paraId="35F8FE5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2.2.2</w:t>
            </w:r>
          </w:p>
          <w:p w14:paraId="2793262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p w14:paraId="33D84CB2">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报价标  （30分）</w:t>
            </w:r>
          </w:p>
        </w:tc>
        <w:tc>
          <w:tcPr>
            <w:tcW w:w="1014" w:type="dxa"/>
            <w:tcBorders>
              <w:top w:val="single" w:color="000000" w:sz="2" w:space="0"/>
              <w:left w:val="single" w:color="000000" w:sz="2" w:space="0"/>
              <w:bottom w:val="single" w:color="000000" w:sz="2" w:space="0"/>
              <w:right w:val="single" w:color="000000" w:sz="2" w:space="0"/>
            </w:tcBorders>
            <w:vAlign w:val="center"/>
          </w:tcPr>
          <w:p w14:paraId="34A5C7D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报价</w:t>
            </w:r>
          </w:p>
          <w:p w14:paraId="34A9412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（30分）</w:t>
            </w:r>
          </w:p>
        </w:tc>
        <w:tc>
          <w:tcPr>
            <w:tcW w:w="7718" w:type="dxa"/>
            <w:gridSpan w:val="2"/>
            <w:tcBorders>
              <w:top w:val="single" w:color="000000" w:sz="2" w:space="0"/>
              <w:left w:val="single" w:color="000000" w:sz="2" w:space="0"/>
              <w:bottom w:val="single" w:color="000000" w:sz="2" w:space="0"/>
              <w:right w:val="single" w:color="000000" w:sz="2" w:space="0"/>
            </w:tcBorders>
          </w:tcPr>
          <w:p w14:paraId="7D50D00E">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价格扣除：本项目为专门面向中小企业的采购项目，小型、微型企业按要求提供《中小企业声明函》，小微企业报价不再给予价格扣除。</w:t>
            </w:r>
          </w:p>
          <w:p w14:paraId="7630C0C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同一投标人（包括联合体），中小微企业产品和监狱企业产品价格扣除优惠只享受一次，不得重复享受。</w:t>
            </w:r>
          </w:p>
          <w:p w14:paraId="1ED3AA9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价格分采用低价优先法计算，即满足招标文件要求且</w:t>
            </w:r>
            <w:r>
              <w:rPr>
                <w:rFonts w:hint="eastAsia" w:ascii="仿宋" w:hAnsi="仿宋" w:eastAsia="仿宋" w:cs="仿宋"/>
                <w:color w:val="auto"/>
                <w:sz w:val="24"/>
                <w:szCs w:val="24"/>
                <w:highlight w:val="none"/>
                <w:lang w:val="en-US" w:eastAsia="zh-CN"/>
              </w:rPr>
              <w:t>最终</w:t>
            </w:r>
            <w:r>
              <w:rPr>
                <w:rFonts w:hint="eastAsia" w:ascii="仿宋" w:hAnsi="仿宋" w:eastAsia="仿宋" w:cs="仿宋"/>
                <w:color w:val="auto"/>
                <w:sz w:val="24"/>
                <w:szCs w:val="24"/>
                <w:highlight w:val="none"/>
              </w:rPr>
              <w:t xml:space="preserve">报价最低的评标报价为评标基准价，其价格分为满分。其他投标人的价格分统一按照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下列公式计算：</w:t>
            </w:r>
          </w:p>
          <w:p w14:paraId="3F2E4B66">
            <w:pPr>
              <w:spacing w:line="360" w:lineRule="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投标报价得分=(评标基准价／投标报价)×30</w:t>
            </w:r>
          </w:p>
        </w:tc>
      </w:tr>
      <w:tr w14:paraId="1D48D8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5" w:hRule="atLeast"/>
        </w:trPr>
        <w:tc>
          <w:tcPr>
            <w:tcW w:w="962" w:type="dxa"/>
            <w:vMerge w:val="restart"/>
            <w:tcBorders>
              <w:top w:val="nil"/>
              <w:left w:val="single" w:color="000000" w:sz="2" w:space="0"/>
              <w:bottom w:val="single" w:color="000000" w:sz="2" w:space="0"/>
              <w:right w:val="single" w:color="000000" w:sz="2" w:space="0"/>
            </w:tcBorders>
            <w:vAlign w:val="center"/>
          </w:tcPr>
          <w:p w14:paraId="20EF7E4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2.2.2</w:t>
            </w:r>
          </w:p>
          <w:p w14:paraId="41B860E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p w14:paraId="3CC747DE">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技术标（50分）</w:t>
            </w:r>
          </w:p>
        </w:tc>
        <w:tc>
          <w:tcPr>
            <w:tcW w:w="1862" w:type="dxa"/>
            <w:gridSpan w:val="2"/>
            <w:vMerge w:val="restart"/>
            <w:tcBorders>
              <w:top w:val="nil"/>
              <w:left w:val="single" w:color="000000" w:sz="2" w:space="0"/>
              <w:bottom w:val="single" w:color="000000" w:sz="2" w:space="0"/>
              <w:right w:val="single" w:color="000000" w:sz="2" w:space="0"/>
            </w:tcBorders>
            <w:vAlign w:val="center"/>
          </w:tcPr>
          <w:p w14:paraId="50D6D59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服务</w:t>
            </w:r>
            <w:r>
              <w:rPr>
                <w:rFonts w:hint="eastAsia" w:ascii="仿宋" w:hAnsi="仿宋" w:eastAsia="仿宋" w:cs="仿宋"/>
                <w:sz w:val="24"/>
                <w:szCs w:val="24"/>
                <w:highlight w:val="none"/>
              </w:rPr>
              <w:t>方案</w:t>
            </w:r>
          </w:p>
          <w:p w14:paraId="27D6A0B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（50分）</w:t>
            </w:r>
          </w:p>
        </w:tc>
        <w:tc>
          <w:tcPr>
            <w:tcW w:w="6870" w:type="dxa"/>
            <w:tcBorders>
              <w:top w:val="single" w:color="000000" w:sz="2" w:space="0"/>
              <w:left w:val="single" w:color="000000" w:sz="2" w:space="0"/>
              <w:bottom w:val="single" w:color="000000" w:sz="2" w:space="0"/>
              <w:right w:val="single" w:color="000000" w:sz="2" w:space="0"/>
            </w:tcBorders>
          </w:tcPr>
          <w:p w14:paraId="0D798623">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供货服务</w:t>
            </w:r>
            <w:r>
              <w:rPr>
                <w:rFonts w:hint="eastAsia" w:ascii="仿宋" w:hAnsi="仿宋" w:eastAsia="仿宋" w:cs="仿宋"/>
                <w:sz w:val="24"/>
                <w:szCs w:val="24"/>
                <w:highlight w:val="none"/>
              </w:rPr>
              <w:t>方案</w:t>
            </w:r>
            <w:r>
              <w:rPr>
                <w:rFonts w:hint="eastAsia" w:ascii="仿宋" w:hAnsi="仿宋" w:eastAsia="仿宋" w:cs="仿宋"/>
                <w:sz w:val="24"/>
                <w:szCs w:val="24"/>
                <w:highlight w:val="none"/>
                <w:lang w:val="en-US" w:eastAsia="zh-CN"/>
              </w:rPr>
              <w:t xml:space="preserve"> （9</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w:t>
            </w:r>
          </w:p>
          <w:p w14:paraId="50EBDE60">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包括但不限于：货源组织能力、运输方案、验收方案等方面，明确所投货物的来源和渠道，产品供应的管理制度、对仓储货源充足保证确保按时供货、正常验收）进行评审。</w:t>
            </w:r>
          </w:p>
          <w:p w14:paraId="601AF250">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①内容全面完善，各项内容阐述详细，能完全满足本项目采购需求，且比较符合项目实际需求的，得</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分；</w:t>
            </w:r>
          </w:p>
          <w:p w14:paraId="0D7DFB2E">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②内容全面，各项阐述内容虽然能满足采购人需求，但有部分内容细节需要进一步完善或提高的，得</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w:t>
            </w:r>
          </w:p>
          <w:p w14:paraId="3A73BC0D">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③内容简单，虽然对各项内容均有阐述，但部分内容描述不清晰存在明显缺陷，在多个方面需要进一步完善才能满足采购需求的，得</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p>
          <w:p w14:paraId="1A3D5A5C">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④内容逻辑混乱，虽然对各项内容均有阐述，但不太贴合项目特点的，得1分;</w:t>
            </w:r>
          </w:p>
          <w:p w14:paraId="6636142B">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未提供或提供的内容完全不能响应采购需求的得0分。</w:t>
            </w:r>
          </w:p>
        </w:tc>
      </w:tr>
      <w:tr w14:paraId="694908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62" w:type="dxa"/>
            <w:vMerge w:val="continue"/>
            <w:tcBorders>
              <w:top w:val="nil"/>
              <w:left w:val="single" w:color="000000" w:sz="2" w:space="0"/>
              <w:bottom w:val="single" w:color="000000" w:sz="2" w:space="0"/>
              <w:right w:val="single" w:color="000000" w:sz="2" w:space="0"/>
            </w:tcBorders>
            <w:vAlign w:val="center"/>
          </w:tcPr>
          <w:p w14:paraId="7EA8E089">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862" w:type="dxa"/>
            <w:gridSpan w:val="2"/>
            <w:vMerge w:val="continue"/>
            <w:tcBorders>
              <w:top w:val="nil"/>
              <w:left w:val="single" w:color="000000" w:sz="2" w:space="0"/>
              <w:bottom w:val="single" w:color="000000" w:sz="2" w:space="0"/>
              <w:right w:val="single" w:color="000000" w:sz="2" w:space="0"/>
            </w:tcBorders>
            <w:vAlign w:val="center"/>
          </w:tcPr>
          <w:p w14:paraId="2D113F4E">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6870" w:type="dxa"/>
            <w:tcBorders>
              <w:top w:val="single" w:color="000000" w:sz="2" w:space="0"/>
              <w:left w:val="single" w:color="000000" w:sz="2" w:space="0"/>
              <w:bottom w:val="single" w:color="000000" w:sz="2" w:space="0"/>
              <w:right w:val="single" w:color="000000" w:sz="2" w:space="0"/>
            </w:tcBorders>
          </w:tcPr>
          <w:p w14:paraId="4CF51AF5">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2、原料采购、储存管理及质量控制方案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9分</w:t>
            </w:r>
            <w:r>
              <w:rPr>
                <w:rFonts w:hint="eastAsia" w:ascii="仿宋" w:hAnsi="仿宋" w:eastAsia="仿宋" w:cs="仿宋"/>
                <w:sz w:val="24"/>
                <w:szCs w:val="24"/>
                <w:highlight w:val="none"/>
                <w:lang w:val="en-US" w:eastAsia="zh-CN"/>
              </w:rPr>
              <w:t>）</w:t>
            </w:r>
          </w:p>
          <w:p w14:paraId="458F8843">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根据投标人对食品原材料的采购、检测检验、仓库储存管理、原材料的来源可追溯等方面是否建立切实可行的管理制度和工作流程，保证采购使用的原材料符合国家食品卫生标准的管理措施进行打分；</w:t>
            </w:r>
          </w:p>
          <w:p w14:paraId="5267A701">
            <w:pPr>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①内容全面完善，各项内容阐述详细，能完全满足本项目采购需求，且比较符合项目实际需求的，得9分；</w:t>
            </w:r>
          </w:p>
          <w:p w14:paraId="1386F468">
            <w:pPr>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②内容全面，各项阐述内容虽然能满足采购人需求，但有部分内容细节需要进一步完善或提高的，得6分；</w:t>
            </w:r>
          </w:p>
          <w:p w14:paraId="49C8280A">
            <w:pPr>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③内容简单，虽然对各项内容均有阐述，但部分内容描述不清晰存在明显缺陷，在多个方面需要进一步完善才能满足采购需求的，得3分；</w:t>
            </w:r>
          </w:p>
          <w:p w14:paraId="777156AC">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④内容逻辑混乱，虽然对各项内容均有阐述，但不太贴合项目特点的，得1分;</w:t>
            </w:r>
          </w:p>
          <w:p w14:paraId="49B2EFFF">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未提供或提供的内容完全不能响应采购需求的得0分。</w:t>
            </w:r>
          </w:p>
        </w:tc>
      </w:tr>
      <w:tr w14:paraId="3AD1DB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7" w:hRule="atLeast"/>
        </w:trPr>
        <w:tc>
          <w:tcPr>
            <w:tcW w:w="962" w:type="dxa"/>
            <w:vMerge w:val="continue"/>
            <w:tcBorders>
              <w:top w:val="nil"/>
              <w:left w:val="single" w:color="000000" w:sz="2" w:space="0"/>
              <w:bottom w:val="single" w:color="000000" w:sz="2" w:space="0"/>
              <w:right w:val="single" w:color="000000" w:sz="2" w:space="0"/>
            </w:tcBorders>
            <w:vAlign w:val="center"/>
          </w:tcPr>
          <w:p w14:paraId="28E482C8">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862" w:type="dxa"/>
            <w:gridSpan w:val="2"/>
            <w:vMerge w:val="continue"/>
            <w:tcBorders>
              <w:top w:val="nil"/>
              <w:left w:val="single" w:color="000000" w:sz="2" w:space="0"/>
              <w:bottom w:val="single" w:color="000000" w:sz="2" w:space="0"/>
              <w:right w:val="single" w:color="000000" w:sz="2" w:space="0"/>
            </w:tcBorders>
            <w:vAlign w:val="center"/>
          </w:tcPr>
          <w:p w14:paraId="5D46FEA6">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6870" w:type="dxa"/>
            <w:tcBorders>
              <w:top w:val="single" w:color="000000" w:sz="2" w:space="0"/>
              <w:left w:val="single" w:color="000000" w:sz="2" w:space="0"/>
              <w:bottom w:val="single" w:color="000000" w:sz="2" w:space="0"/>
              <w:right w:val="single" w:color="000000" w:sz="2" w:space="0"/>
            </w:tcBorders>
          </w:tcPr>
          <w:p w14:paraId="63FFEED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3、卫生管理方案</w:t>
            </w:r>
            <w:r>
              <w:rPr>
                <w:rFonts w:hint="eastAsia" w:ascii="仿宋" w:hAnsi="仿宋" w:eastAsia="仿宋" w:cs="仿宋"/>
                <w:sz w:val="24"/>
                <w:szCs w:val="24"/>
                <w:highlight w:val="none"/>
                <w:lang w:val="en-US" w:eastAsia="zh-CN"/>
              </w:rPr>
              <w:t xml:space="preserve"> （8</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w:t>
            </w:r>
          </w:p>
          <w:p w14:paraId="0224450F">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卫生管理方案（产品卫生，人员卫生，垃圾处理方案等），符合《食品卫生法》、从业人员管理等相关条文的规定，科学全面、条理清晰、可操作性强。</w:t>
            </w:r>
          </w:p>
          <w:p w14:paraId="31534980">
            <w:pPr>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①内容全面完善，各项内容阐述详细，能完全满足本项目采购需求，且比较符合项目实际需求的，得</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分；</w:t>
            </w:r>
          </w:p>
          <w:p w14:paraId="30E94B52">
            <w:pPr>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②内容全面，各项阐述内容虽然能满足采购人需求，但有部分内容细节需要进一步完善或提高的，得</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分；</w:t>
            </w:r>
          </w:p>
          <w:p w14:paraId="6EB3478B">
            <w:pPr>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③内容简单，虽然对各项内容均有阐述，但部分内容描述不清晰存在明显缺陷，在多个方面需要进一步完善才能满足采购需求的，得3分；</w:t>
            </w:r>
          </w:p>
          <w:p w14:paraId="56100EA7">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④内容逻辑混乱，虽然对各项内容均有阐述，但不太贴合项目特点的，</w:t>
            </w:r>
            <w:r>
              <w:rPr>
                <w:rFonts w:hint="eastAsia" w:ascii="仿宋" w:hAnsi="仿宋" w:eastAsia="仿宋" w:cs="仿宋"/>
                <w:sz w:val="24"/>
                <w:szCs w:val="24"/>
                <w:highlight w:val="none"/>
                <w:lang w:val="en-US" w:eastAsia="zh-CN"/>
              </w:rPr>
              <w:t>得1</w:t>
            </w:r>
            <w:r>
              <w:rPr>
                <w:rFonts w:hint="eastAsia" w:ascii="仿宋" w:hAnsi="仿宋" w:eastAsia="仿宋" w:cs="仿宋"/>
                <w:sz w:val="24"/>
                <w:szCs w:val="24"/>
                <w:highlight w:val="none"/>
              </w:rPr>
              <w:t>分。</w:t>
            </w:r>
          </w:p>
          <w:p w14:paraId="5102394C">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未提供或提供的内容完全不能响应采购需求的得0分。</w:t>
            </w:r>
          </w:p>
        </w:tc>
      </w:tr>
      <w:tr w14:paraId="00D79F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62" w:type="dxa"/>
            <w:vMerge w:val="continue"/>
            <w:tcBorders>
              <w:top w:val="nil"/>
              <w:left w:val="single" w:color="000000" w:sz="2" w:space="0"/>
              <w:bottom w:val="single" w:color="000000" w:sz="2" w:space="0"/>
              <w:right w:val="single" w:color="000000" w:sz="2" w:space="0"/>
            </w:tcBorders>
            <w:vAlign w:val="center"/>
          </w:tcPr>
          <w:p w14:paraId="74AAC87F">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862" w:type="dxa"/>
            <w:gridSpan w:val="2"/>
            <w:vMerge w:val="continue"/>
            <w:tcBorders>
              <w:top w:val="nil"/>
              <w:left w:val="single" w:color="000000" w:sz="2" w:space="0"/>
              <w:bottom w:val="single" w:color="000000" w:sz="2" w:space="0"/>
              <w:right w:val="single" w:color="000000" w:sz="2" w:space="0"/>
            </w:tcBorders>
            <w:vAlign w:val="center"/>
          </w:tcPr>
          <w:p w14:paraId="41B7B428">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6870" w:type="dxa"/>
            <w:tcBorders>
              <w:top w:val="single" w:color="000000" w:sz="2" w:space="0"/>
              <w:left w:val="single" w:color="000000" w:sz="2" w:space="0"/>
              <w:bottom w:val="single" w:color="000000" w:sz="2" w:space="0"/>
              <w:right w:val="single" w:color="000000" w:sz="2" w:space="0"/>
            </w:tcBorders>
          </w:tcPr>
          <w:p w14:paraId="7C013689">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4、货物安全保障方案</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8分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包括但不限于：货品安全、卫生、无毒无公害保障措施及常见质量问题的控制方案、检验检测、包装质量保障措施方案、食品留样及追根溯源的保障措施等）确保食材新鲜无发霉、腐烂、异味等进行评审。</w:t>
            </w:r>
          </w:p>
          <w:p w14:paraId="43B50F4E">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①内容全面完善，各项内容阐述详细，能完全满足本项目采购需求，且比较符合项目实际需求的，得</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分；</w:t>
            </w:r>
          </w:p>
          <w:p w14:paraId="52A39E47">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②内容全面，各项阐述内容虽然能满足采购人需求，但有部分内容细节需要进一步完善或提高的，得</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分；</w:t>
            </w:r>
          </w:p>
          <w:p w14:paraId="069D41DA">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③内容简单，虽然对各项内容均有阐述，但部分内容描述不清晰存在明显缺陷，在多个方面需要进一步完善才能满足采购需求的，得</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p>
          <w:p w14:paraId="1294CB39">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④内容逻辑混乱，虽然对各项内容均有阐述，但不太贴合项目特点的，得1分;</w:t>
            </w:r>
          </w:p>
          <w:p w14:paraId="3A0E0896">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未提供或提供的内容完全不能响应采购需求的得0分。</w:t>
            </w:r>
          </w:p>
        </w:tc>
      </w:tr>
      <w:tr w14:paraId="538411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 w:hRule="atLeast"/>
        </w:trPr>
        <w:tc>
          <w:tcPr>
            <w:tcW w:w="962" w:type="dxa"/>
            <w:vMerge w:val="continue"/>
            <w:tcBorders>
              <w:top w:val="nil"/>
              <w:left w:val="single" w:color="000000" w:sz="2" w:space="0"/>
              <w:bottom w:val="single" w:color="000000" w:sz="2" w:space="0"/>
              <w:right w:val="single" w:color="000000" w:sz="2" w:space="0"/>
            </w:tcBorders>
            <w:vAlign w:val="center"/>
          </w:tcPr>
          <w:p w14:paraId="5A7D5DE5">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862" w:type="dxa"/>
            <w:gridSpan w:val="2"/>
            <w:vMerge w:val="continue"/>
            <w:tcBorders>
              <w:top w:val="nil"/>
              <w:left w:val="single" w:color="000000" w:sz="2" w:space="0"/>
              <w:bottom w:val="single" w:color="000000" w:sz="2" w:space="0"/>
              <w:right w:val="single" w:color="000000" w:sz="2" w:space="0"/>
            </w:tcBorders>
            <w:vAlign w:val="center"/>
          </w:tcPr>
          <w:p w14:paraId="05E8D2F6">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6870" w:type="dxa"/>
            <w:tcBorders>
              <w:top w:val="single" w:color="000000" w:sz="2" w:space="0"/>
              <w:left w:val="single" w:color="000000" w:sz="2" w:space="0"/>
              <w:bottom w:val="single" w:color="000000" w:sz="2" w:space="0"/>
              <w:right w:val="single" w:color="000000" w:sz="2" w:space="0"/>
            </w:tcBorders>
          </w:tcPr>
          <w:p w14:paraId="4D4D79FF">
            <w:pPr>
              <w:numPr>
                <w:ilvl w:val="0"/>
                <w:numId w:val="0"/>
              </w:numPr>
              <w:spacing w:line="360" w:lineRule="auto"/>
              <w:ind w:left="0" w:leftChars="0" w:firstLine="0" w:firstLineChars="0"/>
              <w:jc w:val="both"/>
              <w:rPr>
                <w:rFonts w:hint="eastAsia" w:ascii="仿宋" w:hAnsi="仿宋" w:eastAsia="仿宋" w:cs="仿宋"/>
                <w:sz w:val="24"/>
                <w:szCs w:val="24"/>
                <w:highlight w:val="none"/>
                <w:lang w:eastAsia="zh-CN"/>
              </w:rPr>
            </w:pPr>
            <w:r>
              <w:rPr>
                <w:rFonts w:hint="eastAsia" w:ascii="Times New Roman" w:hAnsi="Times New Roman" w:eastAsia="仿宋" w:cs="Times New Roman"/>
                <w:color w:val="000000"/>
                <w:kern w:val="0"/>
                <w:sz w:val="24"/>
                <w:szCs w:val="24"/>
                <w:highlight w:val="none"/>
                <w:lang w:val="en-US" w:eastAsia="zh-CN" w:bidi="ar-SA"/>
              </w:rPr>
              <w:t>5</w:t>
            </w:r>
            <w:r>
              <w:rPr>
                <w:rFonts w:hint="default" w:ascii="Times New Roman" w:hAnsi="Times New Roman" w:eastAsia="仿宋" w:cs="Times New Roman"/>
                <w:color w:val="000000"/>
                <w:kern w:val="0"/>
                <w:sz w:val="24"/>
                <w:szCs w:val="24"/>
                <w:highlight w:val="none"/>
                <w:lang w:val="en-US" w:eastAsia="zh-CN" w:bidi="ar-SA"/>
              </w:rPr>
              <w:t>、</w:t>
            </w:r>
            <w:r>
              <w:rPr>
                <w:rFonts w:hint="eastAsia" w:ascii="仿宋" w:hAnsi="仿宋" w:eastAsia="仿宋" w:cs="仿宋"/>
                <w:sz w:val="24"/>
                <w:szCs w:val="24"/>
                <w:highlight w:val="none"/>
              </w:rPr>
              <w:t>针对出现货品短缺、货品破损、食材出现安全事故时的应急处理方案</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8分</w:t>
            </w:r>
            <w:r>
              <w:rPr>
                <w:rFonts w:hint="eastAsia" w:ascii="仿宋" w:hAnsi="仿宋" w:eastAsia="仿宋" w:cs="仿宋"/>
                <w:sz w:val="24"/>
                <w:szCs w:val="24"/>
                <w:highlight w:val="none"/>
                <w:lang w:eastAsia="zh-CN"/>
              </w:rPr>
              <w:t>）</w:t>
            </w:r>
          </w:p>
          <w:p w14:paraId="31E818B2">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包含但不限于（1）应急预案响应；（2）解决问题时效（发生食材问题时，到达现场处理时间）（3）危机处理能力及处理预案、措施。</w:t>
            </w:r>
          </w:p>
          <w:p w14:paraId="250E68A8">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按照完整性、合理性、可行性等进行横向对比。</w:t>
            </w:r>
          </w:p>
          <w:p w14:paraId="3B1020F1">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①内容全面完善，各项内容阐述详细，能完全满足本项目采购需求，且比较符合项目实际需求的，得</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分；</w:t>
            </w:r>
          </w:p>
          <w:p w14:paraId="56159DA7">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②内容全面，各项阐述内容虽然能满足采购人需求，但有部分内容细节需要进一步完善或提高的，得</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分；</w:t>
            </w:r>
          </w:p>
          <w:p w14:paraId="42155431">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③内容简单，虽然对各项内容均有阐述，但部分内容描述不清晰存在明显缺陷，在多个方面需要进一步完善才能满足采购需求的，得</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p>
          <w:p w14:paraId="1E092292">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④内容逻辑混乱，虽然对各项内容均有阐述，但不太贴合项目特点的，得1分;</w:t>
            </w:r>
          </w:p>
          <w:p w14:paraId="6631DAA9">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未提供或提供的内容完全不能响应采购需求的得0分。</w:t>
            </w:r>
          </w:p>
        </w:tc>
      </w:tr>
      <w:tr w14:paraId="528449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62" w:type="dxa"/>
            <w:vMerge w:val="continue"/>
            <w:tcBorders>
              <w:top w:val="nil"/>
              <w:left w:val="single" w:color="000000" w:sz="2" w:space="0"/>
              <w:bottom w:val="single" w:color="000000" w:sz="2" w:space="0"/>
              <w:right w:val="single" w:color="000000" w:sz="2" w:space="0"/>
            </w:tcBorders>
            <w:vAlign w:val="center"/>
          </w:tcPr>
          <w:p w14:paraId="15E62611">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862" w:type="dxa"/>
            <w:gridSpan w:val="2"/>
            <w:vMerge w:val="continue"/>
            <w:tcBorders>
              <w:top w:val="nil"/>
              <w:left w:val="single" w:color="000000" w:sz="2" w:space="0"/>
              <w:bottom w:val="single" w:color="000000" w:sz="2" w:space="0"/>
              <w:right w:val="single" w:color="000000" w:sz="2" w:space="0"/>
            </w:tcBorders>
            <w:vAlign w:val="center"/>
          </w:tcPr>
          <w:p w14:paraId="0B60B303">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6870" w:type="dxa"/>
            <w:tcBorders>
              <w:top w:val="single" w:color="000000" w:sz="2" w:space="0"/>
              <w:left w:val="single" w:color="000000" w:sz="2" w:space="0"/>
              <w:bottom w:val="single" w:color="000000" w:sz="2" w:space="0"/>
              <w:right w:val="single" w:color="000000" w:sz="2" w:space="0"/>
            </w:tcBorders>
          </w:tcPr>
          <w:p w14:paraId="03580FE1">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6、及时解决采购人提出的要求</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8分</w:t>
            </w:r>
            <w:r>
              <w:rPr>
                <w:rFonts w:hint="eastAsia" w:ascii="仿宋" w:hAnsi="仿宋" w:eastAsia="仿宋" w:cs="仿宋"/>
                <w:sz w:val="24"/>
                <w:szCs w:val="24"/>
                <w:highlight w:val="none"/>
                <w:lang w:val="en-US" w:eastAsia="zh-CN"/>
              </w:rPr>
              <w:t>）</w:t>
            </w:r>
          </w:p>
          <w:p w14:paraId="3E00E6A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针对采购人提出的需求，有及时响应的措施及处理方案。</w:t>
            </w:r>
          </w:p>
          <w:p w14:paraId="00A579DB">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①内容全面完善，各项内容阐述详细，能完全满足本项目采购需求，且比较符合项目实际需求的，得</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分；</w:t>
            </w:r>
          </w:p>
          <w:p w14:paraId="53D02A36">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②内容全面，各项阐述内容虽然能满足采购人需求，但有部分内容细节需要进一步完善或提高的，得</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分；</w:t>
            </w:r>
          </w:p>
          <w:p w14:paraId="758C8488">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③内容简单，虽然对各项内容均有阐述，但部分内容描述不清晰存在明显缺陷，在多个方面需要进一步完善才能满足采购需求的，得</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p>
          <w:p w14:paraId="2868415F">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④内容逻辑混乱，虽然对各项内容均有阐述，但不太贴合项目特点的，得1分;</w:t>
            </w:r>
          </w:p>
          <w:p w14:paraId="50F45C50">
            <w:pPr>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未提供或提供的内容完全不能响应采购需求的得0分。</w:t>
            </w:r>
          </w:p>
        </w:tc>
      </w:tr>
      <w:tr w14:paraId="195A37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6" w:hRule="atLeast"/>
        </w:trPr>
        <w:tc>
          <w:tcPr>
            <w:tcW w:w="962" w:type="dxa"/>
            <w:vMerge w:val="restart"/>
            <w:tcBorders>
              <w:top w:val="nil"/>
              <w:left w:val="single" w:color="000000" w:sz="2" w:space="0"/>
              <w:bottom w:val="single" w:color="000000" w:sz="2" w:space="0"/>
              <w:right w:val="single" w:color="000000" w:sz="2" w:space="0"/>
            </w:tcBorders>
            <w:vAlign w:val="center"/>
          </w:tcPr>
          <w:p w14:paraId="3232B7A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2.2.2</w:t>
            </w:r>
          </w:p>
          <w:p w14:paraId="2CE2E5FB">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p w14:paraId="4E5F578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综合标</w:t>
            </w:r>
          </w:p>
          <w:p w14:paraId="30E8EC4E">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（20分）</w:t>
            </w:r>
          </w:p>
        </w:tc>
        <w:tc>
          <w:tcPr>
            <w:tcW w:w="1862" w:type="dxa"/>
            <w:gridSpan w:val="2"/>
            <w:tcBorders>
              <w:top w:val="single" w:color="000000" w:sz="2" w:space="0"/>
              <w:left w:val="single" w:color="000000" w:sz="2" w:space="0"/>
              <w:bottom w:val="single" w:color="000000" w:sz="2" w:space="0"/>
              <w:right w:val="single" w:color="000000" w:sz="2" w:space="0"/>
            </w:tcBorders>
            <w:vAlign w:val="center"/>
          </w:tcPr>
          <w:p w14:paraId="0B5B9A96">
            <w:pPr>
              <w:pStyle w:val="29"/>
              <w:shd w:val="clea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企业业绩</w:t>
            </w:r>
          </w:p>
          <w:p w14:paraId="0ED2C371">
            <w:pPr>
              <w:shd w:val="clea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（6分）</w:t>
            </w:r>
          </w:p>
        </w:tc>
        <w:tc>
          <w:tcPr>
            <w:tcW w:w="6870" w:type="dxa"/>
            <w:tcBorders>
              <w:top w:val="single" w:color="000000" w:sz="2" w:space="0"/>
              <w:left w:val="single" w:color="000000" w:sz="2" w:space="0"/>
              <w:bottom w:val="single" w:color="000000" w:sz="2" w:space="0"/>
              <w:right w:val="single" w:color="000000" w:sz="2" w:space="0"/>
            </w:tcBorders>
            <w:vAlign w:val="center"/>
          </w:tcPr>
          <w:p w14:paraId="7B4FBD5E">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投标人具有202</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年1月1日以来（以合同签订日期为准）类似项目业绩，每提供一份业绩得2分，最多得6分。（提供合同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中标通知书</w:t>
            </w:r>
            <w:r>
              <w:rPr>
                <w:rFonts w:hint="eastAsia" w:ascii="仿宋" w:hAnsi="仿宋" w:eastAsia="仿宋" w:cs="仿宋"/>
                <w:sz w:val="24"/>
                <w:szCs w:val="24"/>
                <w:highlight w:val="none"/>
              </w:rPr>
              <w:t>扫描件）</w:t>
            </w:r>
          </w:p>
        </w:tc>
      </w:tr>
      <w:tr w14:paraId="5B5C45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6" w:hRule="atLeast"/>
        </w:trPr>
        <w:tc>
          <w:tcPr>
            <w:tcW w:w="962" w:type="dxa"/>
            <w:vMerge w:val="continue"/>
            <w:tcBorders>
              <w:top w:val="nil"/>
              <w:left w:val="single" w:color="000000" w:sz="2" w:space="0"/>
              <w:bottom w:val="single" w:color="000000" w:sz="2" w:space="0"/>
              <w:right w:val="single" w:color="000000" w:sz="2" w:space="0"/>
            </w:tcBorders>
            <w:vAlign w:val="center"/>
          </w:tcPr>
          <w:p w14:paraId="6AD1D5EA">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862" w:type="dxa"/>
            <w:gridSpan w:val="2"/>
            <w:tcBorders>
              <w:top w:val="single" w:color="000000" w:sz="2" w:space="0"/>
              <w:left w:val="single" w:color="000000" w:sz="2" w:space="0"/>
              <w:bottom w:val="single" w:color="000000" w:sz="2" w:space="0"/>
              <w:right w:val="single" w:color="000000" w:sz="2" w:space="0"/>
            </w:tcBorders>
            <w:vAlign w:val="center"/>
          </w:tcPr>
          <w:p w14:paraId="09C1C79A">
            <w:pPr>
              <w:pStyle w:val="29"/>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配送车辆</w:t>
            </w:r>
          </w:p>
          <w:p w14:paraId="3A8931B1">
            <w:pPr>
              <w:pStyle w:val="29"/>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（4分）</w:t>
            </w:r>
          </w:p>
        </w:tc>
        <w:tc>
          <w:tcPr>
            <w:tcW w:w="6870" w:type="dxa"/>
            <w:tcBorders>
              <w:top w:val="single" w:color="000000" w:sz="2" w:space="0"/>
              <w:left w:val="single" w:color="000000" w:sz="2" w:space="0"/>
              <w:bottom w:val="single" w:color="000000" w:sz="2" w:space="0"/>
              <w:right w:val="single" w:color="000000" w:sz="2" w:space="0"/>
            </w:tcBorders>
          </w:tcPr>
          <w:p w14:paraId="6CB833F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投标人具有专用配送厢式货车，每有一辆厢式货车得 2 分 ，其他配送车辆得1分，该项内容最多得4分。</w:t>
            </w:r>
          </w:p>
          <w:p w14:paraId="04D6C2C0">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(须在投标文件中附在审验合格期内的车辆行驶证、车辆实物照片(显示车牌)证明资料。</w:t>
            </w:r>
          </w:p>
          <w:p w14:paraId="565A5B31">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(1)车辆行驶证所有人须为投标人名称或者单位法人名字；或(2)如车辆行驶证所有人非为中标人名称或者单位法人名字，提供车辆租赁合同 ；</w:t>
            </w:r>
          </w:p>
          <w:p w14:paraId="0E9D2383">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以上(1)、(2) 提供其一均可，否则不得分。</w:t>
            </w:r>
          </w:p>
        </w:tc>
      </w:tr>
      <w:tr w14:paraId="4ED0AD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9" w:hRule="atLeast"/>
        </w:trPr>
        <w:tc>
          <w:tcPr>
            <w:tcW w:w="962" w:type="dxa"/>
            <w:vMerge w:val="continue"/>
            <w:tcBorders>
              <w:top w:val="nil"/>
              <w:left w:val="single" w:color="000000" w:sz="2" w:space="0"/>
              <w:bottom w:val="single" w:color="000000" w:sz="2" w:space="0"/>
              <w:right w:val="single" w:color="000000" w:sz="2" w:space="0"/>
            </w:tcBorders>
            <w:vAlign w:val="center"/>
          </w:tcPr>
          <w:p w14:paraId="79743216">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862" w:type="dxa"/>
            <w:gridSpan w:val="2"/>
            <w:tcBorders>
              <w:top w:val="single" w:color="000000" w:sz="2" w:space="0"/>
              <w:left w:val="single" w:color="000000" w:sz="2" w:space="0"/>
              <w:bottom w:val="single" w:color="000000" w:sz="2" w:space="0"/>
              <w:right w:val="single" w:color="000000" w:sz="2" w:space="0"/>
            </w:tcBorders>
            <w:vAlign w:val="center"/>
          </w:tcPr>
          <w:p w14:paraId="55DA3272">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服务承诺</w:t>
            </w:r>
          </w:p>
          <w:p w14:paraId="5A5DCDB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（10分）</w:t>
            </w:r>
          </w:p>
        </w:tc>
        <w:tc>
          <w:tcPr>
            <w:tcW w:w="6870" w:type="dxa"/>
            <w:tcBorders>
              <w:top w:val="single" w:color="000000" w:sz="2" w:space="0"/>
              <w:left w:val="single" w:color="000000" w:sz="2" w:space="0"/>
              <w:bottom w:val="single" w:color="000000" w:sz="2" w:space="0"/>
              <w:right w:val="single" w:color="000000" w:sz="2" w:space="0"/>
            </w:tcBorders>
          </w:tcPr>
          <w:p w14:paraId="358560B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1.根据投标人对服务质量、食品安全、食物加工、环境卫生等方面的服务承诺进行打分（0-4分）</w:t>
            </w:r>
          </w:p>
          <w:p w14:paraId="6A3E005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（1）服务承诺有针对性，内容充实、全面、科学、合理，可行性强，能充分满足采购人的服务需求。得 4分。</w:t>
            </w:r>
          </w:p>
          <w:p w14:paraId="5A3C645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（2）服务承诺合理，内容较为全面，有一定的可行性，基本满足采购人服务需求。得2分。</w:t>
            </w:r>
          </w:p>
          <w:p w14:paraId="3A22522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（3）服务承诺不完善，但内容简单，可行性不强，得1分。</w:t>
            </w:r>
          </w:p>
          <w:p w14:paraId="330D17BE">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（4）缺项得0分。</w:t>
            </w:r>
          </w:p>
          <w:p w14:paraId="45071141">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2.供应商其他实质性优惠承诺（0-4分）。</w:t>
            </w:r>
          </w:p>
          <w:p w14:paraId="794C64D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（1）优惠承诺有针对性，内容充实、全面、科学、合理，可行性强，能充分满足采购人的服务需求。得4分。</w:t>
            </w:r>
          </w:p>
          <w:p w14:paraId="674A8A5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（2）优惠承诺合理，内容较为全面，有一定的可行性，基本满足采购人服务需求。得2分。</w:t>
            </w:r>
          </w:p>
          <w:p w14:paraId="192737DF">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（3）优惠承诺不完善，但内容简单，可行性不强。得1分。</w:t>
            </w:r>
          </w:p>
          <w:p w14:paraId="1211A71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（4）缺项得0分。</w:t>
            </w:r>
          </w:p>
          <w:p w14:paraId="2224E5B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退换货响应时间</w:t>
            </w:r>
            <w:r>
              <w:rPr>
                <w:rFonts w:hint="eastAsia" w:ascii="仿宋" w:hAnsi="仿宋" w:eastAsia="仿宋" w:cs="仿宋"/>
                <w:sz w:val="24"/>
                <w:szCs w:val="24"/>
                <w:highlight w:val="none"/>
              </w:rPr>
              <w:t>（0-2分）</w:t>
            </w:r>
          </w:p>
          <w:p w14:paraId="75FF5049">
            <w:pPr>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退换货条款明确，并提供24小时专线，</w:t>
            </w:r>
            <w:r>
              <w:rPr>
                <w:rFonts w:hint="eastAsia" w:ascii="仿宋" w:hAnsi="仿宋" w:eastAsia="仿宋" w:cs="仿宋"/>
                <w:sz w:val="24"/>
                <w:szCs w:val="24"/>
                <w:highlight w:val="none"/>
              </w:rPr>
              <w:t>响应时间≤2小时得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eastAsia="zh-CN"/>
              </w:rPr>
              <w:t>；</w:t>
            </w:r>
          </w:p>
          <w:p w14:paraId="3C4FDC80">
            <w:pPr>
              <w:spacing w:line="360" w:lineRule="auto"/>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承诺</w:t>
            </w:r>
            <w:r>
              <w:rPr>
                <w:rFonts w:hint="eastAsia" w:ascii="仿宋" w:hAnsi="仿宋" w:eastAsia="仿宋" w:cs="仿宋"/>
                <w:sz w:val="24"/>
                <w:szCs w:val="24"/>
                <w:highlight w:val="none"/>
              </w:rPr>
              <w:t>近3年</w:t>
            </w:r>
            <w:r>
              <w:rPr>
                <w:rFonts w:hint="eastAsia" w:ascii="仿宋" w:hAnsi="仿宋" w:eastAsia="仿宋" w:cs="仿宋"/>
                <w:sz w:val="24"/>
                <w:szCs w:val="24"/>
                <w:highlight w:val="none"/>
                <w:lang w:val="en-US" w:eastAsia="zh-CN"/>
              </w:rPr>
              <w:t>未</w:t>
            </w:r>
            <w:bookmarkStart w:id="112" w:name="_GoBack"/>
            <w:bookmarkEnd w:id="112"/>
            <w:r>
              <w:rPr>
                <w:rFonts w:hint="eastAsia" w:ascii="仿宋" w:hAnsi="仿宋" w:eastAsia="仿宋" w:cs="仿宋"/>
                <w:sz w:val="24"/>
                <w:szCs w:val="24"/>
                <w:highlight w:val="none"/>
              </w:rPr>
              <w:t>发生食品安全事故</w:t>
            </w:r>
            <w:r>
              <w:rPr>
                <w:rFonts w:hint="eastAsia" w:ascii="仿宋" w:hAnsi="仿宋" w:eastAsia="仿宋" w:cs="仿宋"/>
                <w:sz w:val="24"/>
                <w:szCs w:val="24"/>
                <w:highlight w:val="none"/>
                <w:lang w:val="en-US" w:eastAsia="zh-CN"/>
              </w:rPr>
              <w:t>的得1分</w:t>
            </w:r>
            <w:r>
              <w:rPr>
                <w:rFonts w:hint="eastAsia" w:ascii="仿宋" w:hAnsi="仿宋" w:eastAsia="仿宋" w:cs="仿宋"/>
                <w:sz w:val="24"/>
                <w:szCs w:val="24"/>
                <w:highlight w:val="none"/>
              </w:rPr>
              <w:t>（以行政处罚决定书为准）</w:t>
            </w:r>
            <w:r>
              <w:rPr>
                <w:rFonts w:hint="eastAsia" w:ascii="仿宋" w:hAnsi="仿宋" w:eastAsia="仿宋" w:cs="仿宋"/>
                <w:sz w:val="24"/>
                <w:szCs w:val="24"/>
                <w:highlight w:val="none"/>
                <w:lang w:eastAsia="zh-CN"/>
              </w:rPr>
              <w:t>；</w:t>
            </w:r>
          </w:p>
          <w:p w14:paraId="27812FC3">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（3）未提供者不得分；</w:t>
            </w:r>
          </w:p>
          <w:p w14:paraId="1BCA0D33">
            <w:pPr>
              <w:spacing w:line="360" w:lineRule="auto"/>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注：若提供虚假承诺，一经查实，将取消中标资格。</w:t>
            </w:r>
          </w:p>
        </w:tc>
      </w:tr>
    </w:tbl>
    <w:p w14:paraId="118589FE">
      <w:pPr>
        <w:spacing w:line="360" w:lineRule="auto"/>
        <w:outlineLvl w:val="1"/>
        <w:rPr>
          <w:rFonts w:hint="eastAsia" w:ascii="仿宋" w:hAnsi="仿宋" w:eastAsia="仿宋" w:cs="仿宋"/>
          <w:sz w:val="24"/>
          <w:szCs w:val="24"/>
          <w:highlight w:val="none"/>
        </w:rPr>
      </w:pPr>
      <w:bookmarkStart w:id="42" w:name="_Toc15765"/>
      <w:bookmarkEnd w:id="42"/>
      <w:bookmarkStart w:id="43" w:name="_Toc6412"/>
      <w:r>
        <w:rPr>
          <w:rFonts w:hint="eastAsia" w:ascii="仿宋" w:hAnsi="仿宋" w:eastAsia="仿宋" w:cs="仿宋"/>
          <w:sz w:val="24"/>
          <w:szCs w:val="24"/>
          <w:highlight w:val="none"/>
        </w:rPr>
        <w:t>2. 评审标准</w:t>
      </w:r>
      <w:bookmarkEnd w:id="43"/>
    </w:p>
    <w:p w14:paraId="6B0F381C">
      <w:pPr>
        <w:spacing w:line="360" w:lineRule="auto"/>
        <w:outlineLvl w:val="2"/>
        <w:rPr>
          <w:rFonts w:hint="eastAsia" w:ascii="仿宋" w:hAnsi="仿宋" w:eastAsia="仿宋" w:cs="仿宋"/>
          <w:sz w:val="24"/>
          <w:szCs w:val="24"/>
          <w:highlight w:val="none"/>
        </w:rPr>
      </w:pPr>
      <w:bookmarkStart w:id="44" w:name="_Toc1439"/>
      <w:bookmarkEnd w:id="44"/>
      <w:bookmarkStart w:id="45" w:name="_Toc28398"/>
      <w:r>
        <w:rPr>
          <w:rFonts w:hint="eastAsia" w:ascii="仿宋" w:hAnsi="仿宋" w:eastAsia="仿宋" w:cs="仿宋"/>
          <w:sz w:val="24"/>
          <w:szCs w:val="24"/>
          <w:highlight w:val="none"/>
        </w:rPr>
        <w:t>2.1  初步评审标准</w:t>
      </w:r>
      <w:bookmarkEnd w:id="45"/>
    </w:p>
    <w:p w14:paraId="5450C5C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2.1.1  形式评审标准：见评标办法前附表。</w:t>
      </w:r>
    </w:p>
    <w:p w14:paraId="1A80547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2.1.2  资格评审标准：见评标办法前附表。</w:t>
      </w:r>
    </w:p>
    <w:p w14:paraId="29D0B08E">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2.1.3  响应性评审标准：见评标办法前附表。</w:t>
      </w:r>
    </w:p>
    <w:p w14:paraId="2D62979A">
      <w:pPr>
        <w:spacing w:line="360" w:lineRule="auto"/>
        <w:outlineLvl w:val="2"/>
        <w:rPr>
          <w:rFonts w:hint="eastAsia" w:ascii="仿宋" w:hAnsi="仿宋" w:eastAsia="仿宋" w:cs="仿宋"/>
          <w:sz w:val="24"/>
          <w:szCs w:val="24"/>
          <w:highlight w:val="none"/>
        </w:rPr>
      </w:pPr>
      <w:bookmarkStart w:id="46" w:name="_Toc1089"/>
      <w:bookmarkEnd w:id="46"/>
      <w:bookmarkStart w:id="47" w:name="_Toc10177"/>
      <w:r>
        <w:rPr>
          <w:rFonts w:hint="eastAsia" w:ascii="仿宋" w:hAnsi="仿宋" w:eastAsia="仿宋" w:cs="仿宋"/>
          <w:sz w:val="24"/>
          <w:szCs w:val="24"/>
          <w:highlight w:val="none"/>
        </w:rPr>
        <w:t>2.2 分值构成与评分标准</w:t>
      </w:r>
      <w:bookmarkEnd w:id="47"/>
    </w:p>
    <w:p w14:paraId="4D17C1A7">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2.2.1 分值构成</w:t>
      </w:r>
    </w:p>
    <w:p w14:paraId="55B0F45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（1）报价标：见评标办法前附表；</w:t>
      </w:r>
    </w:p>
    <w:p w14:paraId="26A76E5F">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（2）技术标：见评标办法前附表；</w:t>
      </w:r>
    </w:p>
    <w:p w14:paraId="63E382A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（3）综合标：见评标办法前附表；</w:t>
      </w:r>
    </w:p>
    <w:p w14:paraId="094A0CF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2.2.2 评标基准价计算</w:t>
      </w:r>
    </w:p>
    <w:p w14:paraId="0DA804A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评标基准价计算方法：见评标办法前附表。</w:t>
      </w:r>
    </w:p>
    <w:p w14:paraId="40521C57">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2.2.3 评分标准</w:t>
      </w:r>
    </w:p>
    <w:p w14:paraId="1033282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（1）报价标：见评标办法前附表；</w:t>
      </w:r>
    </w:p>
    <w:p w14:paraId="5C90D1CE">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（2）技术标：见评标办法前附表；</w:t>
      </w:r>
    </w:p>
    <w:p w14:paraId="218915C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（3）综合标：见评标办法前附表；</w:t>
      </w:r>
    </w:p>
    <w:p w14:paraId="4F675DEA">
      <w:pPr>
        <w:spacing w:line="360" w:lineRule="auto"/>
        <w:outlineLvl w:val="1"/>
        <w:rPr>
          <w:rFonts w:hint="eastAsia" w:ascii="仿宋" w:hAnsi="仿宋" w:eastAsia="仿宋" w:cs="仿宋"/>
          <w:sz w:val="24"/>
          <w:szCs w:val="24"/>
          <w:highlight w:val="none"/>
        </w:rPr>
      </w:pPr>
      <w:bookmarkStart w:id="48" w:name="_Toc1018"/>
      <w:bookmarkEnd w:id="48"/>
      <w:bookmarkStart w:id="49" w:name="_Toc3744"/>
      <w:r>
        <w:rPr>
          <w:rFonts w:hint="eastAsia" w:ascii="仿宋" w:hAnsi="仿宋" w:eastAsia="仿宋" w:cs="仿宋"/>
          <w:sz w:val="24"/>
          <w:szCs w:val="24"/>
          <w:highlight w:val="none"/>
        </w:rPr>
        <w:t>3. 评标程序</w:t>
      </w:r>
      <w:bookmarkEnd w:id="49"/>
    </w:p>
    <w:p w14:paraId="41D8BDCD">
      <w:pPr>
        <w:spacing w:line="360" w:lineRule="auto"/>
        <w:outlineLvl w:val="2"/>
        <w:rPr>
          <w:rFonts w:hint="eastAsia" w:ascii="仿宋" w:hAnsi="仿宋" w:eastAsia="仿宋" w:cs="仿宋"/>
          <w:sz w:val="24"/>
          <w:szCs w:val="24"/>
          <w:highlight w:val="none"/>
        </w:rPr>
      </w:pPr>
      <w:bookmarkStart w:id="50" w:name="_Toc32298"/>
      <w:bookmarkEnd w:id="50"/>
      <w:bookmarkStart w:id="51" w:name="_Toc30685"/>
      <w:r>
        <w:rPr>
          <w:rFonts w:hint="eastAsia" w:ascii="仿宋" w:hAnsi="仿宋" w:eastAsia="仿宋" w:cs="仿宋"/>
          <w:sz w:val="24"/>
          <w:szCs w:val="24"/>
          <w:highlight w:val="none"/>
        </w:rPr>
        <w:t>3.1 初步评审</w:t>
      </w:r>
      <w:bookmarkEnd w:id="51"/>
    </w:p>
    <w:p w14:paraId="43EE2CA1">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3.1.1 磋商小组依据本章第 2.1.1 项-第 2.1.3 项规定的评审标准对投标文件进行初步评审,有一项不符合评审标准的，作废标处理。</w:t>
      </w:r>
    </w:p>
    <w:p w14:paraId="7D60F142">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3.1.2 供应商有以下情形之一的，其投标作废标处理：</w:t>
      </w:r>
    </w:p>
    <w:p w14:paraId="1CBCE51E">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（1）存在“供应商须知 ”第 1.12 项规定的重大偏离的；</w:t>
      </w:r>
    </w:p>
    <w:p w14:paraId="1BADD71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 串通投标或弄虚作假或有其他违法行为的；</w:t>
      </w:r>
    </w:p>
    <w:p w14:paraId="65F4A15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（3）不按磋商小组要求澄清、说明或补正的。</w:t>
      </w:r>
    </w:p>
    <w:p w14:paraId="5225C52F">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（4）未按招标文件规定编制各项报价的；</w:t>
      </w:r>
    </w:p>
    <w:p w14:paraId="7A4A16A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3.1.3 投标报价有算术错误的，磋商小组按以下原则对投标报价进行修正，修正的价格经供应商书面确认后具有约束力。供应商不接受修正价格的，其投标作废标处理。</w:t>
      </w:r>
    </w:p>
    <w:p w14:paraId="4E769D82">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（1）投标文件中的大写金额与小写金额不一致的， 以大写金额为准；</w:t>
      </w:r>
    </w:p>
    <w:p w14:paraId="025451B2">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（2）总价金额与依据单价计算出的结果不一致的，以单价金额为准修正总价，但单价金额小数点有明显错误的除外。</w:t>
      </w:r>
    </w:p>
    <w:p w14:paraId="49669DEE">
      <w:pPr>
        <w:spacing w:line="360" w:lineRule="auto"/>
        <w:outlineLvl w:val="2"/>
        <w:rPr>
          <w:rFonts w:hint="eastAsia" w:ascii="仿宋" w:hAnsi="仿宋" w:eastAsia="仿宋" w:cs="仿宋"/>
          <w:sz w:val="24"/>
          <w:szCs w:val="24"/>
          <w:highlight w:val="none"/>
        </w:rPr>
      </w:pPr>
      <w:bookmarkStart w:id="52" w:name="_Toc20795"/>
      <w:bookmarkEnd w:id="52"/>
      <w:bookmarkStart w:id="53" w:name="_Toc31369"/>
      <w:r>
        <w:rPr>
          <w:rFonts w:hint="eastAsia" w:ascii="仿宋" w:hAnsi="仿宋" w:eastAsia="仿宋" w:cs="仿宋"/>
          <w:sz w:val="24"/>
          <w:szCs w:val="24"/>
          <w:highlight w:val="none"/>
        </w:rPr>
        <w:t>3.2 详细评审</w:t>
      </w:r>
      <w:bookmarkEnd w:id="53"/>
    </w:p>
    <w:p w14:paraId="1F6FCA6C">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3.2.1 磋商小组按本章第 2.2 款规定的量化因素和分值进行打分，并计算出综合评估得分。</w:t>
      </w:r>
    </w:p>
    <w:p w14:paraId="2E9E5B07">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（1）按本章第 2.2.2（1） 目规定的评审因素和分值对报价标计算出得分 A；</w:t>
      </w:r>
    </w:p>
    <w:p w14:paraId="1FBB107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（2）按本章第 2.2.2（2） 目规定的评审因素和分值对技术标计算出得分 B；</w:t>
      </w:r>
    </w:p>
    <w:p w14:paraId="1804364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（3）按本章第 2.2.2（3） 目规定的评审因素和分值对综合标计算出得分 C；</w:t>
      </w:r>
    </w:p>
    <w:p w14:paraId="42ACEF5E">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3.2.2 评分分值计算保留小数点后两位，小数点后第三位“ 四舍五入 ”。</w:t>
      </w:r>
    </w:p>
    <w:p w14:paraId="47AEED9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3.2.3 供应商得分=A+B+C。</w:t>
      </w:r>
    </w:p>
    <w:p w14:paraId="52C17BE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3.2.4 磋商小组发现供应商的报价明显低于其他投标报价，或者在设有标底时明显低于标底，使得其投标报价可能低于其个别成本的，应当要求该供应商做出书面说明并提供相应的证明材料（提供同类物品购买发票等）。供应商不能合理说明或者不能提供相应证明材料的（提供同类物品购买发票等），认定该供应商以低于成本报价竞标，其投标作无效标处理。</w:t>
      </w:r>
    </w:p>
    <w:p w14:paraId="22C90ED2">
      <w:pPr>
        <w:spacing w:line="360" w:lineRule="auto"/>
        <w:outlineLvl w:val="2"/>
        <w:rPr>
          <w:rFonts w:hint="eastAsia" w:ascii="仿宋" w:hAnsi="仿宋" w:eastAsia="仿宋" w:cs="仿宋"/>
          <w:sz w:val="24"/>
          <w:szCs w:val="24"/>
          <w:highlight w:val="none"/>
        </w:rPr>
      </w:pPr>
      <w:bookmarkStart w:id="54" w:name="_Toc15916"/>
      <w:bookmarkEnd w:id="54"/>
      <w:bookmarkStart w:id="55" w:name="_Toc15230"/>
      <w:r>
        <w:rPr>
          <w:rFonts w:hint="eastAsia" w:ascii="仿宋" w:hAnsi="仿宋" w:eastAsia="仿宋" w:cs="仿宋"/>
          <w:sz w:val="24"/>
          <w:szCs w:val="24"/>
          <w:highlight w:val="none"/>
        </w:rPr>
        <w:t>3.3 投标文件的澄清和补正</w:t>
      </w:r>
      <w:bookmarkEnd w:id="55"/>
    </w:p>
    <w:p w14:paraId="68808B80">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3.3.1 在评标过程中，磋商小组可以书面形式要求供应商对所提交投标文件中不明确的内容进行书面澄清或说明，或者对细微偏差进行补正。磋商小组不接受供应商主动提出的澄清、说明或补正。</w:t>
      </w:r>
    </w:p>
    <w:p w14:paraId="58DB9E4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3.3.2 澄清、说明和补正不得改变投标文件的实质性内容（算术性错误修正的除外）。供应商的书面</w:t>
      </w:r>
    </w:p>
    <w:p w14:paraId="71E5596F">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澄清、说明和补正属于投标文件的组成部分。</w:t>
      </w:r>
    </w:p>
    <w:p w14:paraId="138D7902">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3.3.3 磋商小组对供应商提交的澄清、说明或补正有疑问的，可以要求供应商进一步澄清、说明或补正，直至满足磋商小组的要求。</w:t>
      </w:r>
    </w:p>
    <w:p w14:paraId="77360BFC">
      <w:pPr>
        <w:spacing w:line="360" w:lineRule="auto"/>
        <w:outlineLvl w:val="2"/>
        <w:rPr>
          <w:rFonts w:hint="eastAsia" w:ascii="仿宋" w:hAnsi="仿宋" w:eastAsia="仿宋" w:cs="仿宋"/>
          <w:sz w:val="24"/>
          <w:szCs w:val="24"/>
          <w:highlight w:val="none"/>
        </w:rPr>
      </w:pPr>
      <w:bookmarkStart w:id="56" w:name="_Toc15346"/>
      <w:bookmarkEnd w:id="56"/>
      <w:bookmarkStart w:id="57" w:name="_Toc6480"/>
      <w:r>
        <w:rPr>
          <w:rFonts w:hint="eastAsia" w:ascii="仿宋" w:hAnsi="仿宋" w:eastAsia="仿宋" w:cs="仿宋"/>
          <w:sz w:val="24"/>
          <w:szCs w:val="24"/>
          <w:highlight w:val="none"/>
        </w:rPr>
        <w:t>3.4 评标结果</w:t>
      </w:r>
      <w:bookmarkEnd w:id="57"/>
    </w:p>
    <w:p w14:paraId="6D181B9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3.4.1 磋商小组依据本章第 2.2.1、2.2.2 条评审标准进行评审，按评标办法前附表的约定推荐3名中标候选人，并标明推荐顺序。</w:t>
      </w:r>
    </w:p>
    <w:p w14:paraId="692B318C">
      <w:pPr>
        <w:spacing w:line="360" w:lineRule="auto"/>
        <w:rPr>
          <w:rFonts w:hint="eastAsia" w:ascii="仿宋" w:hAnsi="仿宋" w:eastAsia="仿宋" w:cs="仿宋"/>
          <w:highlight w:val="none"/>
        </w:rPr>
      </w:pPr>
      <w:r>
        <w:rPr>
          <w:rFonts w:hint="eastAsia" w:ascii="仿宋" w:hAnsi="仿宋" w:eastAsia="仿宋" w:cs="仿宋"/>
          <w:sz w:val="24"/>
          <w:szCs w:val="24"/>
          <w:highlight w:val="none"/>
        </w:rPr>
        <w:t>3.4.2 磋商小组完成评标后，应当向采购人提交书面评标报告。</w:t>
      </w:r>
    </w:p>
    <w:p w14:paraId="40D90901">
      <w:pPr>
        <w:kinsoku/>
        <w:autoSpaceDE/>
        <w:autoSpaceDN/>
        <w:adjustRightInd/>
        <w:snapToGrid/>
        <w:spacing w:line="360" w:lineRule="auto"/>
        <w:textAlignment w:val="auto"/>
        <w:rPr>
          <w:rFonts w:hint="eastAsia" w:ascii="仿宋" w:hAnsi="仿宋" w:eastAsia="仿宋" w:cs="仿宋"/>
          <w:color w:val="auto"/>
          <w:sz w:val="20"/>
          <w:szCs w:val="20"/>
          <w:highlight w:val="none"/>
        </w:rPr>
        <w:sectPr>
          <w:pgSz w:w="11906" w:h="16839"/>
          <w:pgMar w:top="1431" w:right="1236" w:bottom="1157" w:left="1088" w:header="0" w:footer="991" w:gutter="0"/>
          <w:pgNumType w:fmt="decimal"/>
          <w:cols w:space="720" w:num="1"/>
        </w:sectPr>
      </w:pPr>
    </w:p>
    <w:p w14:paraId="6C323FCC">
      <w:pPr>
        <w:bidi w:val="0"/>
        <w:spacing w:line="360" w:lineRule="auto"/>
        <w:jc w:val="center"/>
        <w:outlineLvl w:val="0"/>
        <w:rPr>
          <w:rFonts w:hint="eastAsia" w:ascii="仿宋" w:hAnsi="仿宋" w:eastAsia="仿宋" w:cs="仿宋"/>
          <w:b/>
          <w:bCs/>
          <w:sz w:val="32"/>
          <w:szCs w:val="32"/>
          <w:highlight w:val="none"/>
        </w:rPr>
      </w:pPr>
      <w:bookmarkStart w:id="58" w:name="_Toc20417"/>
      <w:bookmarkEnd w:id="58"/>
      <w:bookmarkStart w:id="59" w:name="_Toc27383"/>
      <w:r>
        <w:rPr>
          <w:rFonts w:hint="eastAsia" w:ascii="仿宋" w:hAnsi="仿宋" w:eastAsia="仿宋" w:cs="仿宋"/>
          <w:b/>
          <w:bCs/>
          <w:sz w:val="32"/>
          <w:szCs w:val="32"/>
          <w:highlight w:val="none"/>
        </w:rPr>
        <w:t>第四章 服务内容及要求</w:t>
      </w:r>
      <w:bookmarkEnd w:id="59"/>
    </w:p>
    <w:p w14:paraId="0D79674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1、采购内容：开封市鼓楼区消防救援大队伙食配送定点单位采购，包含但不仅限于蔬菜水果、粮油、肉蛋禽类、奶类、副食、干调等；</w:t>
      </w:r>
    </w:p>
    <w:p w14:paraId="26A3D218">
      <w:pPr>
        <w:spacing w:line="360" w:lineRule="auto"/>
        <w:outlineLvl w:val="9"/>
        <w:rPr>
          <w:rFonts w:hint="eastAsia" w:ascii="仿宋" w:hAnsi="仿宋" w:eastAsia="仿宋" w:cs="仿宋"/>
          <w:sz w:val="24"/>
          <w:szCs w:val="24"/>
          <w:highlight w:val="none"/>
        </w:rPr>
      </w:pPr>
      <w:bookmarkStart w:id="60" w:name="_Toc30565"/>
      <w:bookmarkEnd w:id="60"/>
      <w:bookmarkStart w:id="61" w:name="_Toc12762"/>
      <w:r>
        <w:rPr>
          <w:rFonts w:hint="eastAsia" w:ascii="仿宋" w:hAnsi="仿宋" w:eastAsia="仿宋" w:cs="仿宋"/>
          <w:sz w:val="24"/>
          <w:szCs w:val="24"/>
          <w:highlight w:val="none"/>
        </w:rPr>
        <w:t>2、服务期限：</w:t>
      </w:r>
      <w:bookmarkEnd w:id="61"/>
      <w:r>
        <w:rPr>
          <w:rFonts w:hint="eastAsia" w:ascii="仿宋" w:hAnsi="仿宋" w:eastAsia="仿宋" w:cs="仿宋"/>
          <w:sz w:val="24"/>
          <w:szCs w:val="24"/>
          <w:highlight w:val="none"/>
        </w:rPr>
        <w:t>一年；</w:t>
      </w:r>
    </w:p>
    <w:p w14:paraId="3D7E70B5">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3、本项目采用费率报价，磋商报价费率不得高于100%（100%是指当地大型超市（如大润发、永辉超市等）同期同类产品零售最低价为对比依据（不以特价商品做参照））。</w:t>
      </w:r>
    </w:p>
    <w:p w14:paraId="51913C80">
      <w:pPr>
        <w:spacing w:line="360" w:lineRule="auto"/>
        <w:outlineLvl w:val="9"/>
        <w:rPr>
          <w:rFonts w:hint="eastAsia" w:ascii="仿宋" w:hAnsi="仿宋" w:eastAsia="仿宋" w:cs="仿宋"/>
          <w:color w:val="auto"/>
          <w:sz w:val="24"/>
          <w:szCs w:val="24"/>
          <w:highlight w:val="none"/>
        </w:rPr>
      </w:pPr>
      <w:bookmarkStart w:id="62" w:name="_Toc30711"/>
      <w:bookmarkEnd w:id="62"/>
      <w:bookmarkStart w:id="63" w:name="_Toc29212"/>
      <w:r>
        <w:rPr>
          <w:rFonts w:hint="eastAsia" w:ascii="仿宋" w:hAnsi="仿宋" w:eastAsia="仿宋" w:cs="仿宋"/>
          <w:sz w:val="24"/>
          <w:szCs w:val="24"/>
          <w:highlight w:val="none"/>
        </w:rPr>
        <w:t>4、结算方式： 以实际供货量进行结算</w:t>
      </w:r>
      <w:bookmarkEnd w:id="63"/>
      <w:r>
        <w:rPr>
          <w:rFonts w:hint="eastAsia" w:ascii="仿宋" w:hAnsi="仿宋" w:eastAsia="仿宋" w:cs="仿宋"/>
          <w:sz w:val="24"/>
          <w:szCs w:val="24"/>
          <w:highlight w:val="none"/>
        </w:rPr>
        <w:t>。</w:t>
      </w:r>
    </w:p>
    <w:p w14:paraId="38A9B449">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5、配送单位须提供实际全部食材配送的正规发票。否则不予结算。</w:t>
      </w:r>
    </w:p>
    <w:p w14:paraId="34502DFA">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供应商每日按规定的时间内按照甲方对食材品类、数量及其它要求将相关食材配送到采购人指定地点，无特殊情况不得延误配送时间，若有不抗力的因素提前与甲方沟通。如有特殊情况，供应商接到采购人通知后6小时内需到位。从业人员身体状况必须符合卫生部门规定的食品行业健康标准，并定期进行体检，办理健康证。（具体以合同签为准）</w:t>
      </w:r>
    </w:p>
    <w:p w14:paraId="531D446A">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7、配送单位所配送的食材接受甲方及相关部门的质量监督。</w:t>
      </w:r>
    </w:p>
    <w:p w14:paraId="4C268F11">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8、乙方因食品安全问题造成的任何意外和损失，由乙方承担。 </w:t>
      </w:r>
    </w:p>
    <w:p w14:paraId="38B5B892">
      <w:pPr>
        <w:spacing w:line="360" w:lineRule="auto"/>
        <w:rPr>
          <w:rFonts w:hint="eastAsia" w:ascii="Arial" w:hAnsi="Arial" w:eastAsia="宋体" w:cs="Arial"/>
          <w:color w:val="000000"/>
          <w:kern w:val="0"/>
          <w:sz w:val="21"/>
          <w:szCs w:val="21"/>
          <w:highlight w:val="none"/>
          <w:lang w:val="en-US" w:eastAsia="zh-CN" w:bidi="ar-SA"/>
        </w:rPr>
      </w:pPr>
      <w:r>
        <w:rPr>
          <w:rFonts w:hint="eastAsia" w:ascii="仿宋" w:hAnsi="仿宋" w:eastAsia="仿宋" w:cs="仿宋"/>
          <w:sz w:val="24"/>
          <w:szCs w:val="24"/>
          <w:highlight w:val="none"/>
          <w:lang w:val="en-US" w:eastAsia="zh-CN"/>
        </w:rPr>
        <w:t>9、针对出现单品质量、数量等问题，由乙方双倍赔偿。若每周累计出现质量、数量等问题2次以上（不包含2次）；甲方有权终止合同；并没收履约保证金。</w:t>
      </w:r>
    </w:p>
    <w:p w14:paraId="46BBCF73">
      <w:pPr>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物品验收标准 </w:t>
      </w:r>
    </w:p>
    <w:p w14:paraId="399AA276">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货物验收有效期（针对有使用有效期的货品），剩余有效期不得少于标注有效期的60%。副食品到货后，由采购人员、验收人员、食堂负责人共同验收。对照采购订单，核对食品的品种、规格、数量、包装等是否一致。</w:t>
      </w:r>
    </w:p>
    <w:p w14:paraId="656434B7">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2.果蔬类 </w:t>
      </w:r>
    </w:p>
    <w:p w14:paraId="3F4AB922">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2.1 所提供的物品必须符合国家有关标准，保证无异味、无霉烂变质。 </w:t>
      </w:r>
    </w:p>
    <w:p w14:paraId="036567FD">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2.2 瓜、果、蔬菜必须是优质货品，保证所供应的蔬菜符合卫生标准，卫生指标应符合我国无公害蔬 菜的卫生指标规定，同时承担因所供应蔬菜问题引起的一切事故后果。各种蔬菜都应具有本品种固有的气味、形态颜色、光泽及蔬菜的成熟度和鲜嫩程度，没有腐烂变质及其他异常味道，不能提供萎蔫、枯塌、损伤、病变、虫害等异常蔬菜。 </w:t>
      </w:r>
    </w:p>
    <w:p w14:paraId="6B78C4BF">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2.3 叶菜类肉质鲜嫩、形态好、色泽度正常、茎基部削平，无黄叶、病叶、泥土、明显机械和病虫害， 无烧心焦边、腐烂等现象，无抽薹，无畸形、异味，花椰菜类应新鲜洁白，不带叶麸、无畸形花。 </w:t>
      </w:r>
    </w:p>
    <w:p w14:paraId="2A375816">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2.4 茄果类等应果实整洁，成熟度适中，番茄花蒂不明显，无裂果及空洞现象，茄果不能有裂蒂及果 皮变硬现象，无腐烂、畸形、异味，无明显机械伤。 </w:t>
      </w:r>
    </w:p>
    <w:p w14:paraId="2BEBDF20">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2.5 瓜果类等形状、色泽一致，瓜条均匀，无疤点，无断裂，无腐烂、畸形、异味，无明显机械伤。 </w:t>
      </w:r>
    </w:p>
    <w:p w14:paraId="6663B92E">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2.6 根菜类等品种癖习光滑，大小均匀，肉质脆嫩、新鲜，无断裂，无腐烂、裂痕、糠心、异味、不 带泥土、茎叶和须根。 </w:t>
      </w:r>
    </w:p>
    <w:p w14:paraId="11D7C983">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2.7 薯芋类应色泽一致、不带泥土、茎叶和根须，不干瘪、无腐烂、畸形、异味、明显机械伤、病虫害斑，马铃薯等无发芽现象。 </w:t>
      </w:r>
    </w:p>
    <w:p w14:paraId="6494B153">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2.8 葱蒜类不带老叶、枯叶，不带泥土，无腐烂、异味。 </w:t>
      </w:r>
    </w:p>
    <w:p w14:paraId="5FEA0DC8">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2.9 豆类应形态完整，成熟度适中，无腐烂、畸形、异味。 </w:t>
      </w:r>
    </w:p>
    <w:p w14:paraId="69B382EC">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2.10 食用菌类应新鲜，无杂质，无腐烂、畸形、异味。</w:t>
      </w:r>
    </w:p>
    <w:p w14:paraId="16F93446">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3.畜肉类 </w:t>
      </w:r>
    </w:p>
    <w:p w14:paraId="2CBA5964">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3.1 所提供的物品必须符合国家有关标准，保证无异味、无霉烂变质。鲜肉、冷冻肉供货时需提供当批次有效的动物产品检疫合格证（扫描件）。 </w:t>
      </w:r>
    </w:p>
    <w:p w14:paraId="08F13FDC">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3.2 对货物（鲜肉、冷冻肉）的品质要求，必须符合国家，食品部门的有关标准和规定。 </w:t>
      </w:r>
    </w:p>
    <w:p w14:paraId="3C5997CF">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3.3 每批鲜肉、骨应保持较好的外观和质量等级，符合国家食品部门的有关标准，保证无异味、无腐 烂变质。并提供当批次有效的动物产品检疫合格证（扫描件），分割的猪肉每次送货时均提供猪肉分割证，鲜肉确保每日新鲜、无异味，并标注保鲜期。 </w:t>
      </w:r>
    </w:p>
    <w:p w14:paraId="5A833AC6">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3.4 其他肉类：冷冻肉要求肉体冻实而且坚硬，无化冻现象，肉质紧密而有弹性，色泽均匀，不粘手， 交货时干净、新鲜、无异味。 </w:t>
      </w:r>
    </w:p>
    <w:p w14:paraId="16FDF769">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4.禽肉类 </w:t>
      </w:r>
    </w:p>
    <w:p w14:paraId="46F1FCAD">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4.1 所提供的物品必须符合国家有关标准，保证无异味、无霉烂变质。鲜肉、冷冻肉供货时需提供当批次有效的动物产品检疫合格证（扫描件）。 </w:t>
      </w:r>
    </w:p>
    <w:p w14:paraId="26EEB39D">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4.2 对货物（鲜肉、冷冻肉）的品质要求，必须符合国家，食品部门的有关标准和规定。 </w:t>
      </w:r>
    </w:p>
    <w:p w14:paraId="68CC11F0">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4.3 每批货物应保持较好的外观和质量等级，符合国家食品部门的有关标准，保证无异味、无腐烂变 质，鲜肉确保每日新鲜、无异味，并注明保鲜期。 </w:t>
      </w:r>
    </w:p>
    <w:p w14:paraId="17987B99">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4.4 其他肉类：冷冻肉要求肉体冻实而且坚硬，无化冻现象，肉质紧密而有弹性，色泽均匀，不沾手， 交货时干净、新鲜、无异味。 </w:t>
      </w:r>
    </w:p>
    <w:p w14:paraId="3FB1BF27">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5.蛋类 </w:t>
      </w:r>
    </w:p>
    <w:p w14:paraId="17FC7E7F">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5.1 所提供的物品必须符合国家有关标准，保证无异味、无霉烂变质。 </w:t>
      </w:r>
    </w:p>
    <w:p w14:paraId="0D92E212">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5.2 对货物的品质要求，必须符合国家，食品部门的有关标准和规格要求。 </w:t>
      </w:r>
    </w:p>
    <w:p w14:paraId="439FD26D">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5.3 蛋类应蛋壳清洁完整，色泽鲜明，无破损、裂纹，无霉斑，灯光透视时，整个蛋呈桔黄色至橙红 色，蛋黄不见或略见阴影，没有霉味、酸味、臭味等不良气味，打开后蛋黄凸起、完整、有韧性，蛋白澄清、透明、稀稠分明，无异味。鸡蛋要求在本地养鸡场配送确保新鲜； </w:t>
      </w:r>
    </w:p>
    <w:p w14:paraId="7F592C67">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5.4 皮蛋应外表泥状包料完整、无霉斑，包料除掉后蛋壳完整无损，灯光透照蛋内容物凝固不动，打 开观察，整个蛋凝固、不粘壳、清洁而有弹性，呈半透明的棕黄色，闻起来有芳香，无辛辣气。 </w:t>
      </w:r>
    </w:p>
    <w:p w14:paraId="733F565E">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5.5 咸蛋应蛋壳完整无损，无裂纹或霉斑，摇动时有轻度水荡漾感觉，灯光透视蛋黄凝结、呈橙黄色 且靠近蛋壳，蛋清呈白色水样透明，生蛋打开可见蛋清稀薄透明，蛋黄呈红色或淡红色，浓缩粘度增强，但不硬固，煮熟后打开，可见蛋清白嫩，蛋黄口味有细沙感，富于油脂，品尝则有咸蛋固有的香味。 </w:t>
      </w:r>
    </w:p>
    <w:p w14:paraId="739BC2C0">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6.水产类 </w:t>
      </w:r>
    </w:p>
    <w:p w14:paraId="37FC4E79">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6.1 所提供的物品必须符合国家相关标准，保证无异味、无霉烂变质。鲜肉、冷冻肉供货时需提供当 批次有效的检疫合格证。 </w:t>
      </w:r>
    </w:p>
    <w:p w14:paraId="261AC3FC">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6.2 对货物的品质要求，必须符合国家，食品部门的有关标准和规格要求。 </w:t>
      </w:r>
    </w:p>
    <w:p w14:paraId="301328A7">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6.3 每批货物应保持较好的外观和质量等级，符合国家食品部门的有关标准，保证无异味、无腐烂变 质，鲜肉确保每日新鲜、无异味。 </w:t>
      </w:r>
    </w:p>
    <w:p w14:paraId="1E70DD1D">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6.4 冷冻肉要求肉体冻实而且坚硬，无化冻现象，肉质紧密而有弹性，色泽均匀，不粘手，交货时干 净、新鲜、无异味。冷冻鱼类要求鱼眼睛清亮，角膜透明，鳞片色泽明显。所有冷冻食品均清晰列出产品品牌、规格、类型、包装方式、包装净重、含冰量等相关参数。 </w:t>
      </w:r>
    </w:p>
    <w:p w14:paraId="38AA90D3">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 干货调料类 </w:t>
      </w:r>
    </w:p>
    <w:p w14:paraId="7D917C39">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7.1 所提供的物品必须符合国家有关标准，且在质保期内，保证无异味、无霉烂变质。 </w:t>
      </w:r>
    </w:p>
    <w:p w14:paraId="6A52EE49">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7.2 所提供的物品指标要符合国家强制性标准要求，食品类产品，配送方必须清晰地列出产品品牌， 型号、包装类型、包装方式、包装净重量等相关参数，且包装箱上必须贴有 QS 标志。 </w:t>
      </w:r>
    </w:p>
    <w:p w14:paraId="67FC9C1D">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7.3 对货物的品质要求，必须符合国家，食品部门的有关标准和规格要求。 </w:t>
      </w:r>
    </w:p>
    <w:p w14:paraId="52E42951">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7.4 货物必须符合卫生要求，不得有腐烂、变质、霉变、生虫、污秽不洁、混有异物或者其他感官性 状异常，并可能对人体健康有害的物质。 </w:t>
      </w:r>
    </w:p>
    <w:p w14:paraId="12895825">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7.5 货物应由正规生产厂家合格证书、提供 QS 认证、国家机关发出的产品检验合格证书。包装箱完整，同时包装箱要印有注册商标、生产厂家名称、厂址、生产日期、产品合格证、保质期限、产品成分、厂家电话号码等。。 </w:t>
      </w:r>
    </w:p>
    <w:p w14:paraId="696415E2">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7.6配送方所提供的物品质量必须要符合行业标准要求，不得有掺假、变质、变味、过期等现象出现， 严禁伪劣、假冒、无证不合格物品进入仓库。 </w:t>
      </w:r>
    </w:p>
    <w:p w14:paraId="36D4225C">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7.7所提供的物品不得为转基因物品或转基因制成品，经查实所提供物品中具有转基因物品或转基因 制成品立即终止合同，并有配送方将承担全部责任。 </w:t>
      </w:r>
    </w:p>
    <w:p w14:paraId="468AD049">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7.8 对照需求方要求检查所送物资品牌、规格是否符合要求，对有包装的食品，检查包装是否完整， 有无破损，查看食品包装标签应符合《食品安全国家标准预包装食品标签通则》（GB7718）要求，包括食品名称、配料表、净含量、规格、生产者（或）经销者的名称、地址和联系方式、生产日期和保质期、储存条件、食品生产许可证编号、产品标准代号等内容。 </w:t>
      </w:r>
    </w:p>
    <w:p w14:paraId="2372C16C">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7.9 目前国家实行食品质量（QS）安全市场准入制的食品共 28 类：大米、小麦粉、酱油、醋、食用植物油、肉制品、乳制品、饮料、味精、方便面、饼干、罐头食品、冷冻饮品、速冻面米食品、膨化食品、糖果制品、茶叶、葡萄酒、果酒、啤酒、黄酒、酱腌菜、蜜饯、炒货食品、蛋制品、可可制品、水产加工品、淀粉及淀粉制品（包括粉丝、粉条）。</w:t>
      </w:r>
    </w:p>
    <w:p w14:paraId="3C83C386">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7.10 通过感官鉴别包装内产品及无包装产品，依靠视觉、嗅觉、味觉、触觉等鉴定食品的外观形态、色泽、气味、滋味和硬度（稠度）是否符合质量要求。有保质期限的商品剩余保存期不得少于原有保质期的三分之二。 </w:t>
      </w:r>
    </w:p>
    <w:p w14:paraId="113673C5">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 食用油 </w:t>
      </w:r>
    </w:p>
    <w:p w14:paraId="0FE8800A">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8.1 所提供的物品必须符合国家有关标准，且在质保期内，保证无异味、无霉烂变质。 </w:t>
      </w:r>
    </w:p>
    <w:p w14:paraId="7F661BA7">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8.2 所提供的物品指标要符合国家强制性标准要求，食品类产品，配送方必须清晰地列出产品品牌， 型号、包装类型、包装方式、包装净重量等相关参数，且包装箱上必须贴有 QS 标志。 </w:t>
      </w:r>
    </w:p>
    <w:p w14:paraId="05265E52">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8.3 对货物的品质要求，必须符合国家食品部门的有关标准和规格要求。 </w:t>
      </w:r>
    </w:p>
    <w:p w14:paraId="03DEE528">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8.4 货物必须符合卫生要求，不得有腐烂、变质、霉变、生虫、污秽不洁、混有异物或者其他感官性 状异常，并可能对人体健康有害的物质。 </w:t>
      </w:r>
    </w:p>
    <w:p w14:paraId="736950A8">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8.5 食用油应色泽良好，无异味、无霉变，有正规生产厂家合格证书、提供 QS 认证、国家机关发出的产品检验合格证书。包装箱完整，同时包装箱要复印有注册商标、生产厂家名称、厂址、生产日期、产品合格证、保质期限、产品成分、厂家电话号码等等。 </w:t>
      </w:r>
    </w:p>
    <w:p w14:paraId="0DA7FF6F">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8.6 每个食用油品种必须色泽好、透明度高、无浑浊、无沉淀和悬浮物、粘度小、无分层现象、气味正常、无酸臭异味。严格执行国家相关质量标准及卫生安全标准、色泽、气味、霉变、真菌毒素、重金属污染物、农药等严格控制在国家范围内（原粮及成品粮色泽、气味必须正常。根据用户需求的食用油等级保质保量完成供货。要求提供的食用油生产厂家信誉良好，有明确的物品标签，有生产日期、保质期、质量等级，并标明初制油的加工工艺（即用浸出法生产，还是用压榨法生产的）和是否用转基因油料生产，不许以次充好、以假充真。如将毛油当一级或二级油进行销售，将低价位的植物油渗入高价位植物油中进行销售，牟取暴利，一级查处，配送方将承担全部责任。 </w:t>
      </w:r>
    </w:p>
    <w:p w14:paraId="030B9D2A">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8.7 配送方所提供的物品质量必须符合汗液标准要求，不得有掺假、变质、变味、过期等现象出现， 严禁伪劣、假冒、无证不合格物品进入仓库。 </w:t>
      </w:r>
    </w:p>
    <w:p w14:paraId="133CD2D6">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8.8 所提供的物品不得为转基因物品或转基因制成品，经查实所提供的物品中具有转基因物品或转基因制成品立即终止合同，并由配送方将承担全部责任。 </w:t>
      </w:r>
    </w:p>
    <w:p w14:paraId="4AA8D55A">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8.9 油类执行标准： </w:t>
      </w:r>
    </w:p>
    <w:p w14:paraId="3D8D7496">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色拉油：GB1535-2003 一级大豆色拉油 </w:t>
      </w:r>
    </w:p>
    <w:p w14:paraId="7BBCB52D">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花生油：GB1534-2003 </w:t>
      </w:r>
    </w:p>
    <w:p w14:paraId="293D652D">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大豆油：GB1535-2003 </w:t>
      </w:r>
    </w:p>
    <w:p w14:paraId="139BD4E4">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葵花籽油：GB10464-2003 </w:t>
      </w:r>
    </w:p>
    <w:p w14:paraId="7BF96367">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8.10 油类质量标准： </w:t>
      </w:r>
    </w:p>
    <w:p w14:paraId="407A73FA">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霉变粒不得超过 2%； </w:t>
      </w:r>
    </w:p>
    <w:p w14:paraId="7042C24C">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真菌毒素：黄曲霉素 B1（5ug/kg~20ug/kg）、脱氧雪腐镰刀菌烯醇（1000≤ug/kg）; </w:t>
      </w:r>
    </w:p>
    <w:p w14:paraId="321E18A2">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重金属污染物：铅≤0.2mg/kg、镉（0.1mg/kg~0.2mg/kg）、汞（0.02mg/kg）、无机砷（0.1mg/kg~0.2mg/kg）； </w:t>
      </w:r>
    </w:p>
    <w:p w14:paraId="5037C67D">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农药：对磷化物、马拉硫磷等 140 余种农药规定了最大残留限量。 </w:t>
      </w:r>
    </w:p>
    <w:p w14:paraId="191F3D16">
      <w:pP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8.11 对照需求方要求检查所送物资品牌、规格是否符合要求，对有包装的食品，检查包装是否完整， 有无破损，查看食品包装标签应符合《食品安全国家标准预包装食品标签通则》（GB7718）要求，包括食品名称、配料表、净含量、规格、生产者（或）经销者的名称、地址和联系方式、生产日期和保质期、储存条件、食品生产许可证编号、产品标准代号等内容。 </w:t>
      </w:r>
    </w:p>
    <w:p w14:paraId="1680D065">
      <w:pPr>
        <w:spacing w:line="360" w:lineRule="auto"/>
        <w:rPr>
          <w:rFonts w:hint="eastAsia"/>
          <w:highlight w:val="none"/>
          <w:lang w:val="en-US" w:eastAsia="zh-CN"/>
        </w:rPr>
        <w:sectPr>
          <w:pgSz w:w="11906" w:h="16839"/>
          <w:pgMar w:top="1431" w:right="1084" w:bottom="1157" w:left="1088" w:header="0" w:footer="991" w:gutter="0"/>
          <w:pgNumType w:fmt="decimal"/>
          <w:cols w:space="720" w:num="1"/>
        </w:sectPr>
      </w:pPr>
      <w:r>
        <w:rPr>
          <w:rFonts w:hint="eastAsia" w:ascii="仿宋" w:hAnsi="仿宋" w:eastAsia="仿宋" w:cs="仿宋"/>
          <w:sz w:val="24"/>
          <w:szCs w:val="24"/>
          <w:highlight w:val="none"/>
          <w:lang w:val="en-US" w:eastAsia="zh-CN"/>
        </w:rPr>
        <w:t>8.12 通过感官鉴别包装内产品及无包装产品，依靠视觉、嗅觉、味觉、触觉等鉴定食品的外观形态、 色泽、气味、滋味和硬度（稠度）是否符合质量要求。有保质期限的商品剩余保存期不得少于原有保质期的三分之二。</w:t>
      </w:r>
    </w:p>
    <w:p w14:paraId="13D814CA">
      <w:pPr>
        <w:bidi w:val="0"/>
        <w:jc w:val="center"/>
        <w:outlineLvl w:val="0"/>
        <w:rPr>
          <w:rFonts w:hint="eastAsia" w:ascii="仿宋" w:hAnsi="仿宋" w:eastAsia="仿宋" w:cs="仿宋"/>
          <w:b/>
          <w:bCs/>
          <w:sz w:val="32"/>
          <w:szCs w:val="32"/>
          <w:highlight w:val="none"/>
        </w:rPr>
      </w:pPr>
      <w:bookmarkStart w:id="64" w:name="_Toc22855"/>
      <w:bookmarkEnd w:id="64"/>
      <w:bookmarkStart w:id="65" w:name="_Toc28083"/>
      <w:r>
        <w:rPr>
          <w:rFonts w:hint="eastAsia" w:ascii="仿宋" w:hAnsi="仿宋" w:eastAsia="仿宋" w:cs="仿宋"/>
          <w:b/>
          <w:bCs/>
          <w:sz w:val="32"/>
          <w:szCs w:val="32"/>
          <w:highlight w:val="none"/>
        </w:rPr>
        <w:t>第五章 合同（双方协商）</w:t>
      </w:r>
      <w:bookmarkEnd w:id="65"/>
    </w:p>
    <w:p w14:paraId="3DB9042E">
      <w:pPr>
        <w:spacing w:before="277" w:line="360" w:lineRule="auto"/>
        <w:ind w:left="3140"/>
        <w:outlineLvl w:val="9"/>
        <w:rPr>
          <w:rFonts w:hint="eastAsia" w:ascii="仿宋" w:hAnsi="仿宋" w:eastAsia="仿宋" w:cs="仿宋"/>
          <w:sz w:val="28"/>
          <w:szCs w:val="28"/>
          <w:highlight w:val="none"/>
        </w:rPr>
      </w:pPr>
      <w:bookmarkStart w:id="66" w:name="_Toc19541"/>
      <w:bookmarkEnd w:id="66"/>
      <w:bookmarkStart w:id="67" w:name="_Toc31737"/>
      <w:r>
        <w:rPr>
          <w:rFonts w:hint="eastAsia" w:ascii="仿宋" w:hAnsi="仿宋" w:eastAsia="仿宋" w:cs="仿宋"/>
          <w:spacing w:val="-4"/>
          <w:sz w:val="28"/>
          <w:szCs w:val="28"/>
          <w:highlight w:val="none"/>
        </w:rPr>
        <w:t>以合同签订为准</w:t>
      </w:r>
      <w:bookmarkEnd w:id="67"/>
    </w:p>
    <w:p w14:paraId="123CC85D">
      <w:pPr>
        <w:kinsoku/>
        <w:autoSpaceDE/>
        <w:autoSpaceDN/>
        <w:adjustRightInd/>
        <w:snapToGrid/>
        <w:spacing w:line="360" w:lineRule="auto"/>
        <w:textAlignment w:val="auto"/>
        <w:rPr>
          <w:rFonts w:hint="eastAsia" w:ascii="仿宋" w:hAnsi="仿宋" w:eastAsia="仿宋" w:cs="仿宋"/>
          <w:color w:val="auto"/>
          <w:sz w:val="28"/>
          <w:szCs w:val="28"/>
          <w:highlight w:val="none"/>
        </w:rPr>
        <w:sectPr>
          <w:pgSz w:w="11906" w:h="16839"/>
          <w:pgMar w:top="1431" w:right="1785" w:bottom="1157" w:left="1785" w:header="0" w:footer="992" w:gutter="0"/>
          <w:pgNumType w:fmt="decimal"/>
          <w:cols w:space="720" w:num="1"/>
        </w:sectPr>
      </w:pPr>
    </w:p>
    <w:p w14:paraId="7A3546D7">
      <w:pPr>
        <w:pStyle w:val="5"/>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56E9482F">
      <w:pPr>
        <w:bidi w:val="0"/>
        <w:jc w:val="center"/>
        <w:outlineLvl w:val="0"/>
        <w:rPr>
          <w:rFonts w:hint="eastAsia" w:ascii="仿宋" w:hAnsi="仿宋" w:eastAsia="仿宋" w:cs="仿宋"/>
          <w:b/>
          <w:bCs/>
          <w:sz w:val="32"/>
          <w:szCs w:val="32"/>
          <w:highlight w:val="none"/>
        </w:rPr>
      </w:pPr>
      <w:bookmarkStart w:id="68" w:name="_Toc15968"/>
      <w:bookmarkEnd w:id="68"/>
      <w:bookmarkStart w:id="69" w:name="_Toc31602"/>
      <w:r>
        <w:rPr>
          <w:rFonts w:hint="eastAsia" w:ascii="仿宋" w:hAnsi="仿宋" w:eastAsia="仿宋" w:cs="仿宋"/>
          <w:b/>
          <w:bCs/>
          <w:sz w:val="32"/>
          <w:szCs w:val="32"/>
          <w:highlight w:val="none"/>
        </w:rPr>
        <w:t>第六章  竞争性磋商响应文件格式</w:t>
      </w:r>
      <w:bookmarkEnd w:id="69"/>
    </w:p>
    <w:p w14:paraId="080CAB25">
      <w:pPr>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3EC7D121">
      <w:pPr>
        <w:spacing w:line="360" w:lineRule="auto"/>
        <w:rPr>
          <w:rFonts w:hint="eastAsia" w:ascii="仿宋" w:hAnsi="仿宋" w:eastAsia="仿宋" w:cs="仿宋"/>
          <w:sz w:val="28"/>
          <w:szCs w:val="28"/>
          <w:highlight w:val="none"/>
        </w:rPr>
      </w:pPr>
      <w:r>
        <w:rPr>
          <w:rFonts w:hint="eastAsia" w:ascii="仿宋" w:hAnsi="仿宋" w:eastAsia="仿宋" w:cs="仿宋"/>
          <w:highlight w:val="none"/>
        </w:rPr>
        <w:t xml:space="preserve"> </w:t>
      </w:r>
    </w:p>
    <w:p w14:paraId="5CF888DC">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（项目名称）</w:t>
      </w:r>
    </w:p>
    <w:p w14:paraId="33F00CD9">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204D968C">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4A9ACDB5">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6F758D2F">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758C61B6">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127E3301">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1E60DEA8">
      <w:pPr>
        <w:pStyle w:val="4"/>
        <w:spacing w:line="360" w:lineRule="auto"/>
        <w:jc w:val="center"/>
        <w:rPr>
          <w:rFonts w:hint="eastAsia" w:ascii="仿宋" w:hAnsi="仿宋" w:eastAsia="仿宋" w:cs="仿宋"/>
          <w:sz w:val="56"/>
          <w:szCs w:val="56"/>
          <w:highlight w:val="none"/>
        </w:rPr>
      </w:pPr>
      <w:bookmarkStart w:id="70" w:name="_Toc5996"/>
      <w:bookmarkEnd w:id="70"/>
      <w:bookmarkStart w:id="71" w:name="_Toc5658"/>
      <w:r>
        <w:rPr>
          <w:rFonts w:hint="eastAsia" w:ascii="仿宋" w:hAnsi="仿宋" w:eastAsia="仿宋" w:cs="仿宋"/>
          <w:sz w:val="56"/>
          <w:szCs w:val="56"/>
          <w:highlight w:val="none"/>
        </w:rPr>
        <w:t>竞争性磋商响应文件</w:t>
      </w:r>
      <w:bookmarkEnd w:id="71"/>
    </w:p>
    <w:p w14:paraId="75764A4A">
      <w:pPr>
        <w:spacing w:line="360" w:lineRule="auto"/>
        <w:jc w:val="center"/>
        <w:outlineLvl w:val="9"/>
        <w:rPr>
          <w:rFonts w:hint="eastAsia" w:ascii="仿宋" w:hAnsi="仿宋" w:eastAsia="仿宋" w:cs="仿宋"/>
          <w:sz w:val="28"/>
          <w:szCs w:val="28"/>
          <w:highlight w:val="none"/>
        </w:rPr>
      </w:pPr>
      <w:bookmarkStart w:id="72" w:name="_Toc15167"/>
      <w:bookmarkEnd w:id="72"/>
      <w:r>
        <w:rPr>
          <w:rFonts w:hint="eastAsia" w:ascii="仿宋" w:hAnsi="仿宋" w:eastAsia="仿宋" w:cs="仿宋"/>
          <w:sz w:val="28"/>
          <w:szCs w:val="28"/>
          <w:highlight w:val="none"/>
        </w:rPr>
        <w:t>项目编号：</w:t>
      </w:r>
    </w:p>
    <w:p w14:paraId="4ED0F362">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5D2B6452">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7E9EFBF5">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2AE083B4">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2C7A52D9">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3462AD43">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p>
    <w:p w14:paraId="22C2D9B3">
      <w:pPr>
        <w:spacing w:line="360" w:lineRule="auto"/>
        <w:rPr>
          <w:rFonts w:hint="eastAsia" w:ascii="仿宋" w:hAnsi="仿宋" w:eastAsia="仿宋" w:cs="仿宋"/>
          <w:sz w:val="28"/>
          <w:szCs w:val="28"/>
          <w:highlight w:val="none"/>
        </w:rPr>
      </w:pPr>
    </w:p>
    <w:p w14:paraId="58FAB5EE">
      <w:pPr>
        <w:spacing w:line="360" w:lineRule="auto"/>
        <w:rPr>
          <w:rFonts w:hint="eastAsia" w:ascii="仿宋" w:hAnsi="仿宋" w:eastAsia="仿宋" w:cs="仿宋"/>
          <w:sz w:val="28"/>
          <w:szCs w:val="28"/>
          <w:highlight w:val="none"/>
          <w:lang w:eastAsia="zh-CN"/>
        </w:rPr>
      </w:pPr>
    </w:p>
    <w:p w14:paraId="421D53E2">
      <w:pPr>
        <w:spacing w:line="360" w:lineRule="auto"/>
        <w:jc w:val="center"/>
        <w:rPr>
          <w:rFonts w:hint="eastAsia" w:ascii="仿宋" w:hAnsi="仿宋" w:eastAsia="仿宋" w:cs="仿宋"/>
          <w:sz w:val="24"/>
          <w:szCs w:val="24"/>
          <w:highlight w:val="none"/>
        </w:rPr>
      </w:pPr>
      <w:r>
        <w:rPr>
          <w:rFonts w:hint="eastAsia" w:ascii="仿宋" w:hAnsi="仿宋" w:eastAsia="仿宋" w:cs="仿宋"/>
          <w:highlight w:val="none"/>
        </w:rPr>
        <w:t xml:space="preserve">  </w:t>
      </w:r>
      <w:r>
        <w:rPr>
          <w:rFonts w:hint="eastAsia" w:ascii="仿宋" w:hAnsi="仿宋" w:eastAsia="仿宋" w:cs="仿宋"/>
          <w:sz w:val="24"/>
          <w:szCs w:val="24"/>
          <w:highlight w:val="none"/>
        </w:rPr>
        <w:t>供  应  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（企业电子签章）</w:t>
      </w:r>
    </w:p>
    <w:p w14:paraId="49E483CC">
      <w:pPr>
        <w:spacing w:line="360" w:lineRule="auto"/>
        <w:ind w:firstLine="960" w:firstLineChars="4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法定代表人或授权委托人：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r>
        <w:rPr>
          <w:rFonts w:hint="eastAsia" w:ascii="仿宋" w:hAnsi="仿宋" w:eastAsia="仿宋" w:cs="仿宋"/>
          <w:color w:val="auto"/>
          <w:sz w:val="24"/>
          <w:szCs w:val="24"/>
          <w:highlight w:val="none"/>
        </w:rPr>
        <w:t>个人电子签名或签章</w:t>
      </w:r>
      <w:r>
        <w:rPr>
          <w:rFonts w:hint="eastAsia" w:ascii="仿宋" w:hAnsi="仿宋" w:eastAsia="仿宋" w:cs="仿宋"/>
          <w:sz w:val="24"/>
          <w:szCs w:val="24"/>
          <w:highlight w:val="none"/>
        </w:rPr>
        <w:t>）</w:t>
      </w:r>
    </w:p>
    <w:p w14:paraId="1AFD083C">
      <w:pPr>
        <w:spacing w:line="360" w:lineRule="auto"/>
        <w:jc w:val="center"/>
        <w:rPr>
          <w:rFonts w:hint="eastAsia" w:ascii="仿宋" w:hAnsi="仿宋" w:eastAsia="仿宋" w:cs="仿宋"/>
          <w:highlight w:val="none"/>
        </w:rPr>
      </w:pP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62AE8F4D">
      <w:pPr>
        <w:kinsoku/>
        <w:autoSpaceDE/>
        <w:autoSpaceDN/>
        <w:adjustRightInd/>
        <w:snapToGrid/>
        <w:spacing w:line="360" w:lineRule="auto"/>
        <w:textAlignment w:val="auto"/>
        <w:rPr>
          <w:rFonts w:hint="eastAsia" w:ascii="仿宋" w:hAnsi="仿宋" w:eastAsia="仿宋" w:cs="仿宋"/>
          <w:color w:val="auto"/>
          <w:sz w:val="28"/>
          <w:szCs w:val="28"/>
          <w:highlight w:val="none"/>
        </w:rPr>
        <w:sectPr>
          <w:pgSz w:w="11906" w:h="16839"/>
          <w:pgMar w:top="1431" w:right="1785" w:bottom="1157" w:left="1785" w:header="0" w:footer="992" w:gutter="0"/>
          <w:pgNumType w:fmt="decimal"/>
          <w:cols w:space="720" w:num="1"/>
        </w:sectPr>
      </w:pPr>
    </w:p>
    <w:p w14:paraId="7AA74B0E">
      <w:pPr>
        <w:pStyle w:val="5"/>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031A7DF5">
      <w:pPr>
        <w:pStyle w:val="5"/>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34D6E15B">
      <w:pPr>
        <w:spacing w:before="139" w:line="360" w:lineRule="auto"/>
        <w:ind w:left="3907"/>
        <w:rPr>
          <w:rFonts w:hint="eastAsia" w:ascii="仿宋" w:hAnsi="仿宋" w:eastAsia="仿宋" w:cs="仿宋"/>
          <w:sz w:val="43"/>
          <w:szCs w:val="43"/>
          <w:highlight w:val="none"/>
        </w:rPr>
      </w:pPr>
      <w:r>
        <w:rPr>
          <w:rFonts w:hint="eastAsia" w:ascii="仿宋" w:hAnsi="仿宋" w:eastAsia="仿宋" w:cs="仿宋"/>
          <w:spacing w:val="-46"/>
          <w:sz w:val="43"/>
          <w:szCs w:val="43"/>
          <w:highlight w:val="none"/>
        </w:rPr>
        <w:t>目</w:t>
      </w:r>
      <w:r>
        <w:rPr>
          <w:rFonts w:hint="eastAsia" w:ascii="仿宋" w:hAnsi="仿宋" w:eastAsia="仿宋" w:cs="仿宋"/>
          <w:spacing w:val="29"/>
          <w:sz w:val="43"/>
          <w:szCs w:val="43"/>
          <w:highlight w:val="none"/>
        </w:rPr>
        <w:t xml:space="preserve"> </w:t>
      </w:r>
      <w:r>
        <w:rPr>
          <w:rFonts w:hint="eastAsia" w:ascii="仿宋" w:hAnsi="仿宋" w:eastAsia="仿宋" w:cs="仿宋"/>
          <w:spacing w:val="-46"/>
          <w:sz w:val="43"/>
          <w:szCs w:val="43"/>
          <w:highlight w:val="none"/>
        </w:rPr>
        <w:t>录</w:t>
      </w:r>
    </w:p>
    <w:p w14:paraId="7341927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一、磋商函</w:t>
      </w:r>
    </w:p>
    <w:p w14:paraId="0AF407D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二、磋商函附录</w:t>
      </w:r>
    </w:p>
    <w:p w14:paraId="01D8BA9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三、法定代表人资格证明书</w:t>
      </w:r>
    </w:p>
    <w:p w14:paraId="06313BB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四、法定代表人授权委托书</w:t>
      </w:r>
    </w:p>
    <w:p w14:paraId="5402D9D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五、供应商资格审查资料</w:t>
      </w:r>
    </w:p>
    <w:p w14:paraId="7457E3A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六、服务方案</w:t>
      </w:r>
    </w:p>
    <w:p w14:paraId="33DCCAC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七、服务承诺</w:t>
      </w:r>
    </w:p>
    <w:p w14:paraId="5154890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八、反商业贿赂承诺书</w:t>
      </w:r>
    </w:p>
    <w:p w14:paraId="35DD29E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九、其它材料</w:t>
      </w:r>
    </w:p>
    <w:p w14:paraId="2005CE34">
      <w:pPr>
        <w:kinsoku/>
        <w:autoSpaceDE/>
        <w:autoSpaceDN/>
        <w:adjustRightInd/>
        <w:snapToGrid/>
        <w:spacing w:line="360" w:lineRule="auto"/>
        <w:textAlignment w:val="auto"/>
        <w:rPr>
          <w:rFonts w:hint="eastAsia" w:ascii="仿宋" w:hAnsi="仿宋" w:eastAsia="仿宋" w:cs="仿宋"/>
          <w:color w:val="auto"/>
          <w:sz w:val="22"/>
          <w:szCs w:val="22"/>
          <w:highlight w:val="none"/>
        </w:rPr>
        <w:sectPr>
          <w:pgSz w:w="11906" w:h="16839"/>
          <w:pgMar w:top="1431" w:right="1785" w:bottom="1157" w:left="1514" w:header="0" w:footer="992" w:gutter="0"/>
          <w:pgNumType w:fmt="decimal"/>
          <w:cols w:space="720" w:num="1"/>
        </w:sectPr>
      </w:pPr>
    </w:p>
    <w:p w14:paraId="19ADB264">
      <w:pPr>
        <w:bidi w:val="0"/>
        <w:spacing w:line="360" w:lineRule="auto"/>
        <w:jc w:val="center"/>
        <w:outlineLvl w:val="1"/>
        <w:rPr>
          <w:rFonts w:hint="eastAsia" w:ascii="仿宋" w:hAnsi="仿宋" w:eastAsia="仿宋" w:cs="仿宋"/>
          <w:b/>
          <w:bCs/>
          <w:sz w:val="28"/>
          <w:szCs w:val="28"/>
          <w:highlight w:val="none"/>
          <w:lang w:val="en-US" w:eastAsia="zh-CN"/>
        </w:rPr>
      </w:pPr>
      <w:bookmarkStart w:id="73" w:name="_Toc15950"/>
      <w:bookmarkEnd w:id="73"/>
      <w:bookmarkStart w:id="74" w:name="_Toc21427"/>
      <w:r>
        <w:rPr>
          <w:rFonts w:hint="eastAsia" w:ascii="仿宋" w:hAnsi="仿宋" w:eastAsia="仿宋" w:cs="仿宋"/>
          <w:b/>
          <w:bCs/>
          <w:sz w:val="28"/>
          <w:szCs w:val="28"/>
          <w:highlight w:val="none"/>
          <w:lang w:val="en-US" w:eastAsia="zh-CN"/>
        </w:rPr>
        <w:t>一、磋商函</w:t>
      </w:r>
      <w:bookmarkEnd w:id="74"/>
    </w:p>
    <w:p w14:paraId="20F7BAB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（采购人名称） </w:t>
      </w:r>
      <w:r>
        <w:rPr>
          <w:rFonts w:hint="eastAsia" w:ascii="仿宋" w:hAnsi="仿宋" w:eastAsia="仿宋" w:cs="仿宋"/>
          <w:sz w:val="24"/>
          <w:szCs w:val="24"/>
          <w:highlight w:val="none"/>
        </w:rPr>
        <w:t xml:space="preserve">：         </w:t>
      </w:r>
    </w:p>
    <w:p w14:paraId="360B31E0">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1、我方已仔细研究了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（项目名称）招标文件的全部内容，愿意以（大写）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%的投标报价，服务期限：</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，质量要求：</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，按合同约定完成本项目。</w:t>
      </w:r>
    </w:p>
    <w:p w14:paraId="4C719805">
      <w:pPr>
        <w:spacing w:line="360" w:lineRule="auto"/>
        <w:outlineLvl w:val="9"/>
        <w:rPr>
          <w:rFonts w:hint="eastAsia" w:ascii="仿宋" w:hAnsi="仿宋" w:eastAsia="仿宋" w:cs="仿宋"/>
          <w:sz w:val="24"/>
          <w:szCs w:val="24"/>
          <w:highlight w:val="none"/>
        </w:rPr>
      </w:pPr>
      <w:bookmarkStart w:id="75" w:name="_Toc19640"/>
      <w:bookmarkEnd w:id="75"/>
      <w:bookmarkStart w:id="76" w:name="_Toc32001"/>
      <w:r>
        <w:rPr>
          <w:rFonts w:hint="eastAsia" w:ascii="仿宋" w:hAnsi="仿宋" w:eastAsia="仿宋" w:cs="仿宋"/>
          <w:sz w:val="24"/>
          <w:szCs w:val="24"/>
          <w:highlight w:val="none"/>
        </w:rPr>
        <w:t>2．如我方中标：</w:t>
      </w:r>
      <w:bookmarkEnd w:id="76"/>
    </w:p>
    <w:p w14:paraId="0627EE30">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（1）我方承诺在收到中标通知书后，在中标通知书规定的期限内与你方签订合同。</w:t>
      </w:r>
    </w:p>
    <w:p w14:paraId="1ED213C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（2）随同本投标函递交的磋商函附录属于合同文件的组成部分。</w:t>
      </w:r>
    </w:p>
    <w:p w14:paraId="43E5C7F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（3）我方承诺在合同约定的期限内完成并移交全部合同项目。</w:t>
      </w:r>
    </w:p>
    <w:p w14:paraId="1C9C2FAE">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（4）我方承诺按招标文件要求向招标代理机构支付招标代理服务费。</w:t>
      </w:r>
    </w:p>
    <w:p w14:paraId="37FC058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3．我方在此声明，所递交的投标文件及有关资料内容完整、真实和准确。</w:t>
      </w:r>
    </w:p>
    <w:p w14:paraId="171DB01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（其他补充说明）</w:t>
      </w:r>
    </w:p>
    <w:p w14:paraId="3DE4392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12D8B40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0CDE165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2D2A9FB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57A59B45">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502A6C9A">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供应商：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（企业电子签章）</w:t>
      </w:r>
    </w:p>
    <w:p w14:paraId="149D4D54">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法定代表人或授权委托人：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r>
        <w:rPr>
          <w:rFonts w:hint="eastAsia" w:ascii="仿宋" w:hAnsi="仿宋" w:eastAsia="仿宋" w:cs="仿宋"/>
          <w:color w:val="auto"/>
          <w:sz w:val="24"/>
          <w:szCs w:val="24"/>
          <w:highlight w:val="none"/>
        </w:rPr>
        <w:t>个人电子签名或签章</w:t>
      </w:r>
      <w:r>
        <w:rPr>
          <w:rFonts w:hint="eastAsia" w:ascii="仿宋" w:hAnsi="仿宋" w:eastAsia="仿宋" w:cs="仿宋"/>
          <w:sz w:val="24"/>
          <w:szCs w:val="24"/>
          <w:highlight w:val="none"/>
        </w:rPr>
        <w:t>）</w:t>
      </w:r>
    </w:p>
    <w:p w14:paraId="090751D8">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5E228DA6">
      <w:pPr>
        <w:kinsoku/>
        <w:autoSpaceDE/>
        <w:autoSpaceDN/>
        <w:adjustRightInd/>
        <w:snapToGrid/>
        <w:spacing w:line="360" w:lineRule="auto"/>
        <w:textAlignment w:val="auto"/>
        <w:rPr>
          <w:rFonts w:hint="eastAsia" w:ascii="仿宋" w:hAnsi="仿宋" w:eastAsia="仿宋" w:cs="仿宋"/>
          <w:color w:val="auto"/>
          <w:sz w:val="32"/>
          <w:szCs w:val="32"/>
          <w:highlight w:val="none"/>
        </w:rPr>
        <w:sectPr>
          <w:pgSz w:w="11906" w:h="16839"/>
          <w:pgMar w:top="1431" w:right="1785" w:bottom="1157" w:left="1785" w:header="0" w:footer="992" w:gutter="0"/>
          <w:pgNumType w:fmt="decimal"/>
          <w:cols w:space="720" w:num="1"/>
        </w:sectPr>
      </w:pPr>
    </w:p>
    <w:p w14:paraId="11777833">
      <w:pPr>
        <w:bidi w:val="0"/>
        <w:spacing w:line="360" w:lineRule="auto"/>
        <w:jc w:val="center"/>
        <w:outlineLvl w:val="1"/>
        <w:rPr>
          <w:rFonts w:hint="eastAsia" w:ascii="仿宋" w:hAnsi="仿宋" w:eastAsia="仿宋" w:cs="仿宋"/>
          <w:b/>
          <w:bCs/>
          <w:sz w:val="28"/>
          <w:szCs w:val="28"/>
          <w:highlight w:val="none"/>
          <w:lang w:val="en-US" w:eastAsia="zh-CN"/>
        </w:rPr>
      </w:pPr>
      <w:bookmarkStart w:id="77" w:name="_Toc3291"/>
      <w:bookmarkEnd w:id="77"/>
      <w:bookmarkStart w:id="78" w:name="_Toc28107"/>
      <w:r>
        <w:rPr>
          <w:rFonts w:hint="eastAsia" w:ascii="仿宋" w:hAnsi="仿宋" w:eastAsia="仿宋" w:cs="仿宋"/>
          <w:b/>
          <w:bCs/>
          <w:sz w:val="28"/>
          <w:szCs w:val="28"/>
          <w:highlight w:val="none"/>
          <w:lang w:val="en-US" w:eastAsia="zh-CN"/>
        </w:rPr>
        <w:t>二、磋商函附录</w:t>
      </w:r>
      <w:bookmarkEnd w:id="78"/>
    </w:p>
    <w:p w14:paraId="6EBEC901">
      <w:pPr>
        <w:spacing w:before="232" w:line="360" w:lineRule="auto"/>
        <w:rPr>
          <w:rFonts w:hint="eastAsia" w:ascii="仿宋" w:hAnsi="仿宋" w:eastAsia="仿宋" w:cs="仿宋"/>
          <w:highlight w:val="none"/>
        </w:rPr>
      </w:pPr>
      <w:r>
        <w:rPr>
          <w:rFonts w:hint="eastAsia" w:ascii="仿宋" w:hAnsi="仿宋" w:eastAsia="仿宋" w:cs="仿宋"/>
          <w:highlight w:val="none"/>
        </w:rPr>
        <w:t xml:space="preserve"> </w:t>
      </w:r>
    </w:p>
    <w:tbl>
      <w:tblPr>
        <w:tblStyle w:val="34"/>
        <w:tblW w:w="874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52"/>
        <w:gridCol w:w="5897"/>
      </w:tblGrid>
      <w:tr w14:paraId="4B97EA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3" w:hRule="atLeast"/>
          <w:jc w:val="center"/>
        </w:trPr>
        <w:tc>
          <w:tcPr>
            <w:tcW w:w="2852" w:type="dxa"/>
            <w:tcBorders>
              <w:top w:val="single" w:color="000000" w:sz="2" w:space="0"/>
              <w:left w:val="single" w:color="000000" w:sz="2" w:space="0"/>
              <w:bottom w:val="single" w:color="000000" w:sz="2" w:space="0"/>
              <w:right w:val="single" w:color="000000" w:sz="2" w:space="0"/>
            </w:tcBorders>
            <w:vAlign w:val="center"/>
          </w:tcPr>
          <w:p w14:paraId="1B50B2DB">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5897" w:type="dxa"/>
            <w:tcBorders>
              <w:top w:val="single" w:color="000000" w:sz="2" w:space="0"/>
              <w:left w:val="single" w:color="000000" w:sz="2" w:space="0"/>
              <w:bottom w:val="single" w:color="000000" w:sz="2" w:space="0"/>
              <w:right w:val="single" w:color="000000" w:sz="2" w:space="0"/>
            </w:tcBorders>
            <w:vAlign w:val="center"/>
          </w:tcPr>
          <w:p w14:paraId="29D00D16">
            <w:pPr>
              <w:spacing w:line="360" w:lineRule="auto"/>
              <w:jc w:val="center"/>
              <w:rPr>
                <w:rFonts w:hint="eastAsia" w:ascii="仿宋" w:hAnsi="仿宋" w:eastAsia="仿宋" w:cs="仿宋"/>
                <w:sz w:val="24"/>
                <w:szCs w:val="24"/>
                <w:highlight w:val="none"/>
              </w:rPr>
            </w:pPr>
          </w:p>
        </w:tc>
      </w:tr>
      <w:tr w14:paraId="7A7720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8" w:hRule="atLeast"/>
          <w:jc w:val="center"/>
        </w:trPr>
        <w:tc>
          <w:tcPr>
            <w:tcW w:w="2852" w:type="dxa"/>
            <w:tcBorders>
              <w:top w:val="single" w:color="000000" w:sz="2" w:space="0"/>
              <w:left w:val="single" w:color="000000" w:sz="2" w:space="0"/>
              <w:bottom w:val="single" w:color="000000" w:sz="2" w:space="0"/>
              <w:right w:val="single" w:color="000000" w:sz="2" w:space="0"/>
            </w:tcBorders>
            <w:vAlign w:val="center"/>
          </w:tcPr>
          <w:p w14:paraId="1C38BB9E">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供应商名称</w:t>
            </w:r>
          </w:p>
        </w:tc>
        <w:tc>
          <w:tcPr>
            <w:tcW w:w="5897" w:type="dxa"/>
            <w:tcBorders>
              <w:top w:val="single" w:color="000000" w:sz="2" w:space="0"/>
              <w:left w:val="single" w:color="000000" w:sz="2" w:space="0"/>
              <w:bottom w:val="single" w:color="000000" w:sz="2" w:space="0"/>
              <w:right w:val="single" w:color="000000" w:sz="2" w:space="0"/>
            </w:tcBorders>
            <w:vAlign w:val="center"/>
          </w:tcPr>
          <w:p w14:paraId="6814D4E5">
            <w:pPr>
              <w:spacing w:line="360" w:lineRule="auto"/>
              <w:jc w:val="center"/>
              <w:rPr>
                <w:rFonts w:hint="eastAsia" w:ascii="仿宋" w:hAnsi="仿宋" w:eastAsia="仿宋" w:cs="仿宋"/>
                <w:sz w:val="24"/>
                <w:szCs w:val="24"/>
                <w:highlight w:val="none"/>
              </w:rPr>
            </w:pPr>
          </w:p>
        </w:tc>
      </w:tr>
      <w:tr w14:paraId="521D36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8" w:hRule="atLeast"/>
          <w:jc w:val="center"/>
        </w:trPr>
        <w:tc>
          <w:tcPr>
            <w:tcW w:w="2852" w:type="dxa"/>
            <w:tcBorders>
              <w:top w:val="single" w:color="000000" w:sz="2" w:space="0"/>
              <w:left w:val="single" w:color="000000" w:sz="2" w:space="0"/>
              <w:bottom w:val="single" w:color="000000" w:sz="2" w:space="0"/>
              <w:right w:val="single" w:color="000000" w:sz="2" w:space="0"/>
            </w:tcBorders>
            <w:vAlign w:val="center"/>
          </w:tcPr>
          <w:p w14:paraId="3B06D1F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供应商地址</w:t>
            </w:r>
          </w:p>
        </w:tc>
        <w:tc>
          <w:tcPr>
            <w:tcW w:w="5897" w:type="dxa"/>
            <w:tcBorders>
              <w:top w:val="single" w:color="000000" w:sz="2" w:space="0"/>
              <w:left w:val="single" w:color="000000" w:sz="2" w:space="0"/>
              <w:bottom w:val="single" w:color="000000" w:sz="2" w:space="0"/>
              <w:right w:val="single" w:color="000000" w:sz="2" w:space="0"/>
            </w:tcBorders>
            <w:vAlign w:val="center"/>
          </w:tcPr>
          <w:p w14:paraId="0F8198B3">
            <w:pPr>
              <w:spacing w:line="360" w:lineRule="auto"/>
              <w:jc w:val="center"/>
              <w:rPr>
                <w:rFonts w:hint="eastAsia" w:ascii="仿宋" w:hAnsi="仿宋" w:eastAsia="仿宋" w:cs="仿宋"/>
                <w:sz w:val="24"/>
                <w:szCs w:val="24"/>
                <w:highlight w:val="none"/>
              </w:rPr>
            </w:pPr>
          </w:p>
        </w:tc>
      </w:tr>
      <w:tr w14:paraId="7906EF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7" w:hRule="atLeast"/>
          <w:jc w:val="center"/>
        </w:trPr>
        <w:tc>
          <w:tcPr>
            <w:tcW w:w="2852" w:type="dxa"/>
            <w:tcBorders>
              <w:top w:val="single" w:color="000000" w:sz="2" w:space="0"/>
              <w:left w:val="single" w:color="000000" w:sz="2" w:space="0"/>
              <w:bottom w:val="single" w:color="000000" w:sz="2" w:space="0"/>
              <w:right w:val="single" w:color="000000" w:sz="2" w:space="0"/>
            </w:tcBorders>
            <w:vAlign w:val="center"/>
          </w:tcPr>
          <w:p w14:paraId="612714B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投标报价</w:t>
            </w:r>
          </w:p>
        </w:tc>
        <w:tc>
          <w:tcPr>
            <w:tcW w:w="5897" w:type="dxa"/>
            <w:tcBorders>
              <w:top w:val="single" w:color="000000" w:sz="2" w:space="0"/>
              <w:left w:val="single" w:color="000000" w:sz="2" w:space="0"/>
              <w:bottom w:val="single" w:color="000000" w:sz="2" w:space="0"/>
              <w:right w:val="single" w:color="000000" w:sz="2" w:space="0"/>
            </w:tcBorders>
            <w:vAlign w:val="center"/>
          </w:tcPr>
          <w:p w14:paraId="4AE1B10F">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大写：</w:t>
            </w:r>
          </w:p>
          <w:p w14:paraId="480BAB43">
            <w:pPr>
              <w:spacing w:line="360" w:lineRule="auto"/>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tc>
      </w:tr>
      <w:tr w14:paraId="253986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jc w:val="center"/>
        </w:trPr>
        <w:tc>
          <w:tcPr>
            <w:tcW w:w="2852" w:type="dxa"/>
            <w:tcBorders>
              <w:top w:val="single" w:color="000000" w:sz="2" w:space="0"/>
              <w:left w:val="single" w:color="000000" w:sz="2" w:space="0"/>
              <w:bottom w:val="single" w:color="000000" w:sz="2" w:space="0"/>
              <w:right w:val="single" w:color="000000" w:sz="2" w:space="0"/>
            </w:tcBorders>
            <w:vAlign w:val="center"/>
          </w:tcPr>
          <w:p w14:paraId="53BC5A5B">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质量要求</w:t>
            </w:r>
          </w:p>
        </w:tc>
        <w:tc>
          <w:tcPr>
            <w:tcW w:w="5897" w:type="dxa"/>
            <w:tcBorders>
              <w:top w:val="single" w:color="000000" w:sz="2" w:space="0"/>
              <w:left w:val="single" w:color="000000" w:sz="2" w:space="0"/>
              <w:bottom w:val="single" w:color="000000" w:sz="2" w:space="0"/>
              <w:right w:val="single" w:color="000000" w:sz="2" w:space="0"/>
            </w:tcBorders>
            <w:vAlign w:val="center"/>
          </w:tcPr>
          <w:p w14:paraId="75929581">
            <w:pPr>
              <w:spacing w:line="360" w:lineRule="auto"/>
              <w:jc w:val="center"/>
              <w:rPr>
                <w:rFonts w:hint="eastAsia" w:ascii="仿宋" w:hAnsi="仿宋" w:eastAsia="仿宋" w:cs="仿宋"/>
                <w:sz w:val="24"/>
                <w:szCs w:val="24"/>
                <w:highlight w:val="none"/>
              </w:rPr>
            </w:pPr>
          </w:p>
        </w:tc>
      </w:tr>
      <w:tr w14:paraId="3B38EC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jc w:val="center"/>
        </w:trPr>
        <w:tc>
          <w:tcPr>
            <w:tcW w:w="2852" w:type="dxa"/>
            <w:tcBorders>
              <w:top w:val="single" w:color="000000" w:sz="2" w:space="0"/>
              <w:left w:val="single" w:color="000000" w:sz="2" w:space="0"/>
              <w:bottom w:val="single" w:color="000000" w:sz="2" w:space="0"/>
              <w:right w:val="single" w:color="000000" w:sz="2" w:space="0"/>
            </w:tcBorders>
            <w:vAlign w:val="center"/>
          </w:tcPr>
          <w:p w14:paraId="1E0C0EB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服务期限</w:t>
            </w:r>
          </w:p>
        </w:tc>
        <w:tc>
          <w:tcPr>
            <w:tcW w:w="5897" w:type="dxa"/>
            <w:tcBorders>
              <w:top w:val="single" w:color="000000" w:sz="2" w:space="0"/>
              <w:left w:val="single" w:color="000000" w:sz="2" w:space="0"/>
              <w:bottom w:val="single" w:color="000000" w:sz="2" w:space="0"/>
              <w:right w:val="single" w:color="000000" w:sz="2" w:space="0"/>
            </w:tcBorders>
            <w:vAlign w:val="center"/>
          </w:tcPr>
          <w:p w14:paraId="30BD5B95">
            <w:pPr>
              <w:spacing w:line="360" w:lineRule="auto"/>
              <w:jc w:val="center"/>
              <w:rPr>
                <w:rFonts w:hint="eastAsia" w:ascii="仿宋" w:hAnsi="仿宋" w:eastAsia="仿宋" w:cs="仿宋"/>
                <w:sz w:val="24"/>
                <w:szCs w:val="24"/>
                <w:highlight w:val="none"/>
              </w:rPr>
            </w:pPr>
          </w:p>
        </w:tc>
      </w:tr>
      <w:tr w14:paraId="3E51F5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jc w:val="center"/>
        </w:trPr>
        <w:tc>
          <w:tcPr>
            <w:tcW w:w="2852" w:type="dxa"/>
            <w:tcBorders>
              <w:top w:val="single" w:color="000000" w:sz="2" w:space="0"/>
              <w:left w:val="single" w:color="000000" w:sz="2" w:space="0"/>
              <w:bottom w:val="single" w:color="000000" w:sz="2" w:space="0"/>
              <w:right w:val="single" w:color="000000" w:sz="2" w:space="0"/>
            </w:tcBorders>
            <w:vAlign w:val="center"/>
          </w:tcPr>
          <w:p w14:paraId="75045B0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采购内容</w:t>
            </w:r>
          </w:p>
        </w:tc>
        <w:tc>
          <w:tcPr>
            <w:tcW w:w="5897" w:type="dxa"/>
            <w:tcBorders>
              <w:top w:val="single" w:color="000000" w:sz="2" w:space="0"/>
              <w:left w:val="single" w:color="000000" w:sz="2" w:space="0"/>
              <w:bottom w:val="single" w:color="000000" w:sz="2" w:space="0"/>
              <w:right w:val="single" w:color="000000" w:sz="2" w:space="0"/>
            </w:tcBorders>
            <w:vAlign w:val="center"/>
          </w:tcPr>
          <w:p w14:paraId="353EAA25">
            <w:pPr>
              <w:spacing w:line="360" w:lineRule="auto"/>
              <w:jc w:val="center"/>
              <w:rPr>
                <w:rFonts w:hint="eastAsia" w:ascii="仿宋" w:hAnsi="仿宋" w:eastAsia="仿宋" w:cs="仿宋"/>
                <w:sz w:val="24"/>
                <w:szCs w:val="24"/>
                <w:highlight w:val="none"/>
              </w:rPr>
            </w:pPr>
          </w:p>
        </w:tc>
      </w:tr>
      <w:tr w14:paraId="2E3CA8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jc w:val="center"/>
        </w:trPr>
        <w:tc>
          <w:tcPr>
            <w:tcW w:w="2852" w:type="dxa"/>
            <w:tcBorders>
              <w:top w:val="single" w:color="000000" w:sz="2" w:space="0"/>
              <w:left w:val="single" w:color="000000" w:sz="2" w:space="0"/>
              <w:bottom w:val="single" w:color="000000" w:sz="2" w:space="0"/>
              <w:right w:val="single" w:color="000000" w:sz="2" w:space="0"/>
            </w:tcBorders>
            <w:vAlign w:val="center"/>
          </w:tcPr>
          <w:p w14:paraId="0310191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磋商有效期</w:t>
            </w:r>
          </w:p>
        </w:tc>
        <w:tc>
          <w:tcPr>
            <w:tcW w:w="5897" w:type="dxa"/>
            <w:tcBorders>
              <w:top w:val="single" w:color="000000" w:sz="2" w:space="0"/>
              <w:left w:val="single" w:color="000000" w:sz="2" w:space="0"/>
              <w:bottom w:val="single" w:color="000000" w:sz="2" w:space="0"/>
              <w:right w:val="single" w:color="000000" w:sz="2" w:space="0"/>
            </w:tcBorders>
            <w:vAlign w:val="center"/>
          </w:tcPr>
          <w:p w14:paraId="6406AF14">
            <w:pPr>
              <w:spacing w:line="360" w:lineRule="auto"/>
              <w:jc w:val="center"/>
              <w:rPr>
                <w:rFonts w:hint="eastAsia" w:ascii="仿宋" w:hAnsi="仿宋" w:eastAsia="仿宋" w:cs="仿宋"/>
                <w:sz w:val="24"/>
                <w:szCs w:val="24"/>
                <w:highlight w:val="none"/>
              </w:rPr>
            </w:pPr>
          </w:p>
        </w:tc>
      </w:tr>
      <w:tr w14:paraId="210933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8" w:hRule="atLeast"/>
          <w:jc w:val="center"/>
        </w:trPr>
        <w:tc>
          <w:tcPr>
            <w:tcW w:w="2852" w:type="dxa"/>
            <w:tcBorders>
              <w:top w:val="single" w:color="000000" w:sz="2" w:space="0"/>
              <w:left w:val="single" w:color="000000" w:sz="2" w:space="0"/>
              <w:bottom w:val="single" w:color="000000" w:sz="2" w:space="0"/>
              <w:right w:val="single" w:color="000000" w:sz="2" w:space="0"/>
            </w:tcBorders>
            <w:vAlign w:val="center"/>
          </w:tcPr>
          <w:p w14:paraId="74D9BC4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备注</w:t>
            </w:r>
          </w:p>
        </w:tc>
        <w:tc>
          <w:tcPr>
            <w:tcW w:w="5897" w:type="dxa"/>
            <w:tcBorders>
              <w:top w:val="single" w:color="000000" w:sz="2" w:space="0"/>
              <w:left w:val="single" w:color="000000" w:sz="2" w:space="0"/>
              <w:bottom w:val="single" w:color="000000" w:sz="2" w:space="0"/>
              <w:right w:val="single" w:color="000000" w:sz="2" w:space="0"/>
            </w:tcBorders>
            <w:vAlign w:val="center"/>
          </w:tcPr>
          <w:p w14:paraId="36237799">
            <w:pPr>
              <w:spacing w:line="360" w:lineRule="auto"/>
              <w:jc w:val="center"/>
              <w:rPr>
                <w:rFonts w:hint="eastAsia" w:ascii="仿宋" w:hAnsi="仿宋" w:eastAsia="仿宋" w:cs="仿宋"/>
                <w:sz w:val="24"/>
                <w:szCs w:val="24"/>
                <w:highlight w:val="none"/>
              </w:rPr>
            </w:pPr>
          </w:p>
        </w:tc>
      </w:tr>
    </w:tbl>
    <w:p w14:paraId="2C494F46">
      <w:pPr>
        <w:pStyle w:val="5"/>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599561E3">
      <w:pPr>
        <w:pStyle w:val="5"/>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064791C7">
      <w:pPr>
        <w:pStyle w:val="5"/>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31712153">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供应商：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（企业电子签章）</w:t>
      </w:r>
    </w:p>
    <w:p w14:paraId="47FD58C6">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法定代表人或授权委托人：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r>
        <w:rPr>
          <w:rFonts w:hint="eastAsia" w:ascii="仿宋" w:hAnsi="仿宋" w:eastAsia="仿宋" w:cs="仿宋"/>
          <w:color w:val="auto"/>
          <w:sz w:val="24"/>
          <w:szCs w:val="24"/>
          <w:highlight w:val="none"/>
        </w:rPr>
        <w:t>个人电子签名或签章</w:t>
      </w:r>
      <w:r>
        <w:rPr>
          <w:rFonts w:hint="eastAsia" w:ascii="仿宋" w:hAnsi="仿宋" w:eastAsia="仿宋" w:cs="仿宋"/>
          <w:sz w:val="24"/>
          <w:szCs w:val="24"/>
          <w:highlight w:val="none"/>
        </w:rPr>
        <w:t>）</w:t>
      </w:r>
    </w:p>
    <w:p w14:paraId="0A74378D">
      <w:pPr>
        <w:spacing w:line="360" w:lineRule="auto"/>
        <w:jc w:val="right"/>
        <w:rPr>
          <w:rFonts w:hint="eastAsia" w:ascii="仿宋" w:hAnsi="仿宋" w:eastAsia="仿宋" w:cs="仿宋"/>
          <w:highlight w:val="none"/>
        </w:rPr>
      </w:pPr>
      <w:r>
        <w:rPr>
          <w:rFonts w:hint="eastAsia" w:ascii="仿宋" w:hAnsi="仿宋" w:eastAsia="仿宋" w:cs="仿宋"/>
          <w:sz w:val="24"/>
          <w:szCs w:val="24"/>
          <w:highlight w:val="none"/>
        </w:rPr>
        <w:t>年    月    日</w:t>
      </w:r>
    </w:p>
    <w:p w14:paraId="4D86A77D">
      <w:pPr>
        <w:kinsoku/>
        <w:autoSpaceDE/>
        <w:autoSpaceDN/>
        <w:adjustRightInd/>
        <w:snapToGrid/>
        <w:spacing w:line="360" w:lineRule="auto"/>
        <w:textAlignment w:val="auto"/>
        <w:rPr>
          <w:rFonts w:hint="eastAsia" w:ascii="仿宋" w:hAnsi="仿宋" w:eastAsia="仿宋" w:cs="仿宋"/>
          <w:color w:val="auto"/>
          <w:highlight w:val="none"/>
        </w:rPr>
        <w:sectPr>
          <w:pgSz w:w="11906" w:h="16839"/>
          <w:pgMar w:top="1431" w:right="1576" w:bottom="1157" w:left="1575" w:header="0" w:footer="992" w:gutter="0"/>
          <w:pgNumType w:fmt="decimal"/>
          <w:cols w:space="720" w:num="1"/>
        </w:sectPr>
      </w:pPr>
    </w:p>
    <w:p w14:paraId="4CE494D0">
      <w:pPr>
        <w:bidi w:val="0"/>
        <w:spacing w:line="360" w:lineRule="auto"/>
        <w:jc w:val="center"/>
        <w:outlineLvl w:val="1"/>
        <w:rPr>
          <w:rFonts w:hint="eastAsia" w:ascii="仿宋" w:hAnsi="仿宋" w:eastAsia="仿宋" w:cs="仿宋"/>
          <w:b/>
          <w:bCs/>
          <w:sz w:val="28"/>
          <w:szCs w:val="28"/>
          <w:highlight w:val="none"/>
          <w:lang w:val="en-US" w:eastAsia="zh-CN"/>
        </w:rPr>
      </w:pPr>
      <w:bookmarkStart w:id="79" w:name="_Toc18240"/>
      <w:bookmarkEnd w:id="79"/>
      <w:bookmarkStart w:id="80" w:name="_Toc18690"/>
      <w:r>
        <w:rPr>
          <w:rFonts w:hint="eastAsia" w:ascii="仿宋" w:hAnsi="仿宋" w:eastAsia="仿宋" w:cs="仿宋"/>
          <w:b/>
          <w:bCs/>
          <w:sz w:val="28"/>
          <w:szCs w:val="28"/>
          <w:highlight w:val="none"/>
          <w:lang w:val="en-US" w:eastAsia="zh-CN"/>
        </w:rPr>
        <w:t>三、法定代表人资格证明书</w:t>
      </w:r>
      <w:bookmarkEnd w:id="80"/>
    </w:p>
    <w:p w14:paraId="6B644022">
      <w:pPr>
        <w:spacing w:line="360" w:lineRule="auto"/>
        <w:rPr>
          <w:rFonts w:hint="eastAsia" w:ascii="仿宋" w:hAnsi="仿宋" w:eastAsia="仿宋" w:cs="仿宋"/>
          <w:highlight w:val="none"/>
        </w:rPr>
      </w:pPr>
    </w:p>
    <w:p w14:paraId="2996AFEE">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单位名称：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478BBBA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地    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5556529C">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姓名：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职务：</w:t>
      </w:r>
      <w:r>
        <w:rPr>
          <w:rFonts w:hint="eastAsia" w:ascii="仿宋" w:hAnsi="仿宋" w:eastAsia="仿宋" w:cs="仿宋"/>
          <w:sz w:val="24"/>
          <w:szCs w:val="24"/>
          <w:highlight w:val="none"/>
          <w:u w:val="single"/>
        </w:rPr>
        <w:t xml:space="preserve">           </w:t>
      </w:r>
    </w:p>
    <w:p w14:paraId="2E6260E0">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系</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（投标单位名称）的法定代表人。为签署此投标文件、进行合同谈判、签署合同和处理与之有关的一切事物。</w:t>
      </w:r>
    </w:p>
    <w:p w14:paraId="3A2CA38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特此证明。</w:t>
      </w:r>
    </w:p>
    <w:p w14:paraId="7CC02059">
      <w:pPr>
        <w:spacing w:line="360" w:lineRule="auto"/>
        <w:rPr>
          <w:rFonts w:hint="eastAsia" w:ascii="仿宋" w:hAnsi="仿宋" w:eastAsia="仿宋" w:cs="仿宋"/>
          <w:sz w:val="24"/>
          <w:szCs w:val="24"/>
          <w:highlight w:val="none"/>
          <w:lang w:val="en-US" w:eastAsia="zh-CN"/>
        </w:rPr>
      </w:pPr>
      <w:bookmarkStart w:id="81" w:name="_Toc8594"/>
      <w:bookmarkEnd w:id="81"/>
      <w:r>
        <w:rPr>
          <w:rFonts w:hint="eastAsia" w:ascii="仿宋" w:hAnsi="仿宋" w:eastAsia="仿宋" w:cs="仿宋"/>
          <w:b/>
          <w:bCs/>
          <w:sz w:val="24"/>
          <w:szCs w:val="24"/>
          <w:highlight w:val="none"/>
        </w:rPr>
        <w:t>此处附：法定代表人身份证复印件</w:t>
      </w:r>
      <w:r>
        <w:rPr>
          <w:rFonts w:hint="eastAsia" w:ascii="仿宋" w:hAnsi="仿宋" w:eastAsia="仿宋" w:cs="仿宋"/>
          <w:b/>
          <w:bCs/>
          <w:sz w:val="24"/>
          <w:szCs w:val="24"/>
          <w:highlight w:val="none"/>
          <w:lang w:val="en-US" w:eastAsia="zh-CN"/>
        </w:rPr>
        <w:t>扫描件</w:t>
      </w:r>
    </w:p>
    <w:p w14:paraId="25F083AE">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3546BF6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0C6C96E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364BB14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1C50F86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157F6340">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2B31F5E2">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22CFB8D1">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412530F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00B527DF">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供  应  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（企业电子签章）</w:t>
      </w:r>
    </w:p>
    <w:p w14:paraId="6B930684">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法定代表人或授权委托人：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r>
        <w:rPr>
          <w:rFonts w:hint="eastAsia" w:ascii="仿宋" w:hAnsi="仿宋" w:eastAsia="仿宋" w:cs="仿宋"/>
          <w:color w:val="auto"/>
          <w:sz w:val="24"/>
          <w:szCs w:val="24"/>
          <w:highlight w:val="none"/>
        </w:rPr>
        <w:t>个人电子签名或签章</w:t>
      </w:r>
      <w:r>
        <w:rPr>
          <w:rFonts w:hint="eastAsia" w:ascii="仿宋" w:hAnsi="仿宋" w:eastAsia="仿宋" w:cs="仿宋"/>
          <w:sz w:val="24"/>
          <w:szCs w:val="24"/>
          <w:highlight w:val="none"/>
        </w:rPr>
        <w:t>）</w:t>
      </w:r>
    </w:p>
    <w:p w14:paraId="7795D4FA">
      <w:pPr>
        <w:spacing w:line="360" w:lineRule="auto"/>
        <w:jc w:val="right"/>
        <w:rPr>
          <w:rFonts w:hint="eastAsia" w:ascii="仿宋" w:hAnsi="仿宋" w:eastAsia="仿宋" w:cs="仿宋"/>
          <w:highlight w:val="none"/>
        </w:rPr>
      </w:pP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 年        月       日</w:t>
      </w:r>
    </w:p>
    <w:p w14:paraId="02A617F6">
      <w:pPr>
        <w:kinsoku/>
        <w:autoSpaceDE/>
        <w:autoSpaceDN/>
        <w:adjustRightInd/>
        <w:snapToGrid/>
        <w:spacing w:line="360" w:lineRule="auto"/>
        <w:textAlignment w:val="auto"/>
        <w:rPr>
          <w:rFonts w:hint="eastAsia" w:ascii="仿宋" w:hAnsi="仿宋" w:eastAsia="仿宋" w:cs="仿宋"/>
          <w:color w:val="auto"/>
          <w:sz w:val="20"/>
          <w:szCs w:val="20"/>
          <w:highlight w:val="none"/>
        </w:rPr>
        <w:sectPr>
          <w:pgSz w:w="11906" w:h="16839"/>
          <w:pgMar w:top="1431" w:right="1785" w:bottom="1157" w:left="1785" w:header="0" w:footer="992" w:gutter="0"/>
          <w:pgNumType w:fmt="decimal"/>
          <w:cols w:space="720" w:num="1"/>
        </w:sectPr>
      </w:pPr>
    </w:p>
    <w:p w14:paraId="1900F96B">
      <w:pPr>
        <w:bidi w:val="0"/>
        <w:spacing w:line="360" w:lineRule="auto"/>
        <w:jc w:val="center"/>
        <w:outlineLvl w:val="1"/>
        <w:rPr>
          <w:rFonts w:hint="eastAsia" w:ascii="仿宋" w:hAnsi="仿宋" w:eastAsia="仿宋" w:cs="仿宋"/>
          <w:b/>
          <w:bCs/>
          <w:sz w:val="28"/>
          <w:szCs w:val="28"/>
          <w:highlight w:val="none"/>
          <w:lang w:val="en-US" w:eastAsia="zh-CN"/>
        </w:rPr>
      </w:pPr>
      <w:bookmarkStart w:id="82" w:name="_Toc8908"/>
      <w:bookmarkEnd w:id="82"/>
      <w:bookmarkStart w:id="83" w:name="_Toc24569"/>
      <w:r>
        <w:rPr>
          <w:rFonts w:hint="eastAsia" w:ascii="仿宋" w:hAnsi="仿宋" w:eastAsia="仿宋" w:cs="仿宋"/>
          <w:b/>
          <w:bCs/>
          <w:sz w:val="28"/>
          <w:szCs w:val="28"/>
          <w:highlight w:val="none"/>
          <w:lang w:val="en-US" w:eastAsia="zh-CN"/>
        </w:rPr>
        <w:t>四、法定代表人授权委托书</w:t>
      </w:r>
      <w:bookmarkEnd w:id="83"/>
    </w:p>
    <w:p w14:paraId="5D8F58D6">
      <w:pPr>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7D402CE5">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本授权委托书声明：我</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（姓名）系</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（供应商名称）的法定代表人，现授权委托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(单位名称)的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（姓名）为我公司签署此已递交的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（项目名称）投标文件的法定代表人的授权委托代理人，代理人全权代表我所签署的此已递交的投标文件内容我均承认。</w:t>
      </w:r>
    </w:p>
    <w:p w14:paraId="0DDEC56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委托期限：</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3DD53E73">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代理人无转委托权，特此委托。</w:t>
      </w:r>
    </w:p>
    <w:p w14:paraId="25E343A0">
      <w:pPr>
        <w:spacing w:line="360" w:lineRule="auto"/>
        <w:outlineLvl w:val="9"/>
        <w:rPr>
          <w:rFonts w:hint="eastAsia" w:ascii="仿宋" w:hAnsi="仿宋" w:eastAsia="仿宋" w:cs="仿宋"/>
          <w:b/>
          <w:bCs/>
          <w:sz w:val="24"/>
          <w:szCs w:val="24"/>
          <w:highlight w:val="none"/>
          <w:lang w:eastAsia="zh-CN"/>
        </w:rPr>
      </w:pPr>
      <w:bookmarkStart w:id="84" w:name="_Toc30818"/>
      <w:bookmarkEnd w:id="84"/>
      <w:r>
        <w:rPr>
          <w:rFonts w:hint="eastAsia" w:ascii="仿宋" w:hAnsi="仿宋" w:eastAsia="仿宋" w:cs="仿宋"/>
          <w:b/>
          <w:bCs/>
          <w:sz w:val="24"/>
          <w:szCs w:val="24"/>
          <w:highlight w:val="none"/>
        </w:rPr>
        <w:t>此处附：法定代表人和授权委托人身份证</w:t>
      </w:r>
      <w:r>
        <w:rPr>
          <w:rFonts w:hint="eastAsia" w:ascii="仿宋" w:hAnsi="仿宋" w:eastAsia="仿宋" w:cs="仿宋"/>
          <w:b/>
          <w:bCs/>
          <w:sz w:val="24"/>
          <w:szCs w:val="24"/>
          <w:highlight w:val="none"/>
          <w:lang w:val="en-US" w:eastAsia="zh-CN"/>
        </w:rPr>
        <w:t>扫描件</w:t>
      </w:r>
    </w:p>
    <w:p w14:paraId="012AF5B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3B37493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295D0DD0">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77E79A2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1FCD831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5400F591">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0D8ECA61">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5115B31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06EE5060">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供  应  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（企业电子签章）</w:t>
      </w:r>
    </w:p>
    <w:p w14:paraId="1B8EF9C9">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法定代表人或授权委托人：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r>
        <w:rPr>
          <w:rFonts w:hint="eastAsia" w:ascii="仿宋" w:hAnsi="仿宋" w:eastAsia="仿宋" w:cs="仿宋"/>
          <w:color w:val="auto"/>
          <w:sz w:val="24"/>
          <w:szCs w:val="24"/>
          <w:highlight w:val="none"/>
        </w:rPr>
        <w:t>个人电子签名或签章</w:t>
      </w:r>
      <w:r>
        <w:rPr>
          <w:rFonts w:hint="eastAsia" w:ascii="仿宋" w:hAnsi="仿宋" w:eastAsia="仿宋" w:cs="仿宋"/>
          <w:sz w:val="24"/>
          <w:szCs w:val="24"/>
          <w:highlight w:val="none"/>
        </w:rPr>
        <w:t>）</w:t>
      </w:r>
    </w:p>
    <w:p w14:paraId="5A8E301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委托人联系方式（手机号）：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000CAD5D">
      <w:pPr>
        <w:spacing w:line="360" w:lineRule="auto"/>
        <w:jc w:val="right"/>
        <w:rPr>
          <w:rFonts w:hint="eastAsia" w:ascii="仿宋" w:hAnsi="仿宋" w:eastAsia="仿宋" w:cs="仿宋"/>
          <w:color w:val="auto"/>
          <w:highlight w:val="none"/>
        </w:rPr>
        <w:sectPr>
          <w:pgSz w:w="11906" w:h="16839"/>
          <w:pgMar w:top="1431" w:right="1785" w:bottom="1157" w:left="1785" w:header="0" w:footer="992" w:gutter="0"/>
          <w:pgNumType w:fmt="decimal"/>
          <w:cols w:space="720" w:num="1"/>
        </w:sectPr>
      </w:pP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 年        月       日</w:t>
      </w:r>
    </w:p>
    <w:p w14:paraId="39BFCF55">
      <w:pPr>
        <w:spacing w:line="360" w:lineRule="auto"/>
        <w:rPr>
          <w:rFonts w:hint="eastAsia" w:ascii="仿宋" w:hAnsi="仿宋" w:eastAsia="仿宋" w:cs="仿宋"/>
          <w:highlight w:val="none"/>
        </w:rPr>
      </w:pPr>
    </w:p>
    <w:p w14:paraId="56D8EF94">
      <w:pPr>
        <w:bidi w:val="0"/>
        <w:spacing w:line="360" w:lineRule="auto"/>
        <w:jc w:val="center"/>
        <w:outlineLvl w:val="1"/>
        <w:rPr>
          <w:rFonts w:hint="eastAsia" w:ascii="仿宋" w:hAnsi="仿宋" w:eastAsia="仿宋" w:cs="仿宋"/>
          <w:b/>
          <w:bCs/>
          <w:sz w:val="28"/>
          <w:szCs w:val="28"/>
          <w:highlight w:val="none"/>
          <w:lang w:val="en-US" w:eastAsia="zh-CN"/>
        </w:rPr>
      </w:pPr>
      <w:bookmarkStart w:id="85" w:name="_Toc16698"/>
      <w:bookmarkEnd w:id="85"/>
      <w:bookmarkStart w:id="86" w:name="_Toc7904"/>
      <w:r>
        <w:rPr>
          <w:rFonts w:hint="eastAsia" w:ascii="仿宋" w:hAnsi="仿宋" w:eastAsia="仿宋" w:cs="仿宋"/>
          <w:b/>
          <w:bCs/>
          <w:sz w:val="28"/>
          <w:szCs w:val="28"/>
          <w:highlight w:val="none"/>
          <w:lang w:val="en-US" w:eastAsia="zh-CN"/>
        </w:rPr>
        <w:t>五、</w:t>
      </w:r>
      <w:bookmarkEnd w:id="86"/>
      <w:r>
        <w:rPr>
          <w:rFonts w:hint="eastAsia" w:ascii="仿宋" w:hAnsi="仿宋" w:eastAsia="仿宋" w:cs="仿宋"/>
          <w:b/>
          <w:bCs/>
          <w:sz w:val="28"/>
          <w:szCs w:val="28"/>
          <w:highlight w:val="none"/>
          <w:lang w:val="en-US" w:eastAsia="zh-CN"/>
        </w:rPr>
        <w:t>供应商资格审查资料</w:t>
      </w:r>
    </w:p>
    <w:p w14:paraId="6FEC742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（一）供应商基本情况表</w:t>
      </w:r>
    </w:p>
    <w:tbl>
      <w:tblPr>
        <w:tblStyle w:val="34"/>
        <w:tblW w:w="8970" w:type="dxa"/>
        <w:tblInd w:w="1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83"/>
        <w:gridCol w:w="1075"/>
        <w:gridCol w:w="1525"/>
        <w:gridCol w:w="988"/>
        <w:gridCol w:w="1625"/>
        <w:gridCol w:w="1774"/>
      </w:tblGrid>
      <w:tr w14:paraId="06AED8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983" w:type="dxa"/>
            <w:tcBorders>
              <w:top w:val="single" w:color="000000" w:sz="2" w:space="0"/>
              <w:left w:val="single" w:color="000000" w:sz="2" w:space="0"/>
              <w:bottom w:val="single" w:color="000000" w:sz="2" w:space="0"/>
              <w:right w:val="single" w:color="000000" w:sz="2" w:space="0"/>
            </w:tcBorders>
            <w:vAlign w:val="center"/>
          </w:tcPr>
          <w:p w14:paraId="2085BA72">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供应商名称</w:t>
            </w:r>
          </w:p>
        </w:tc>
        <w:tc>
          <w:tcPr>
            <w:tcW w:w="6987" w:type="dxa"/>
            <w:gridSpan w:val="5"/>
            <w:tcBorders>
              <w:top w:val="single" w:color="000000" w:sz="2" w:space="0"/>
              <w:left w:val="single" w:color="000000" w:sz="2" w:space="0"/>
              <w:bottom w:val="single" w:color="000000" w:sz="2" w:space="0"/>
              <w:right w:val="single" w:color="000000" w:sz="2" w:space="0"/>
            </w:tcBorders>
            <w:vAlign w:val="center"/>
          </w:tcPr>
          <w:p w14:paraId="60CFA43F">
            <w:pPr>
              <w:spacing w:line="360" w:lineRule="auto"/>
              <w:jc w:val="center"/>
              <w:rPr>
                <w:rFonts w:hint="eastAsia" w:ascii="仿宋" w:hAnsi="仿宋" w:eastAsia="仿宋" w:cs="仿宋"/>
                <w:sz w:val="24"/>
                <w:szCs w:val="24"/>
                <w:highlight w:val="none"/>
              </w:rPr>
            </w:pPr>
          </w:p>
        </w:tc>
      </w:tr>
      <w:tr w14:paraId="292384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983" w:type="dxa"/>
            <w:tcBorders>
              <w:top w:val="single" w:color="000000" w:sz="2" w:space="0"/>
              <w:left w:val="single" w:color="000000" w:sz="2" w:space="0"/>
              <w:bottom w:val="single" w:color="000000" w:sz="2" w:space="0"/>
              <w:right w:val="single" w:color="000000" w:sz="2" w:space="0"/>
            </w:tcBorders>
            <w:vAlign w:val="center"/>
          </w:tcPr>
          <w:p w14:paraId="153F7E1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注册地址</w:t>
            </w:r>
          </w:p>
        </w:tc>
        <w:tc>
          <w:tcPr>
            <w:tcW w:w="3588" w:type="dxa"/>
            <w:gridSpan w:val="3"/>
            <w:tcBorders>
              <w:top w:val="single" w:color="000000" w:sz="2" w:space="0"/>
              <w:left w:val="single" w:color="000000" w:sz="2" w:space="0"/>
              <w:bottom w:val="single" w:color="000000" w:sz="2" w:space="0"/>
              <w:right w:val="single" w:color="000000" w:sz="2" w:space="0"/>
            </w:tcBorders>
            <w:vAlign w:val="center"/>
          </w:tcPr>
          <w:p w14:paraId="018044F3">
            <w:pPr>
              <w:spacing w:line="360" w:lineRule="auto"/>
              <w:jc w:val="center"/>
              <w:rPr>
                <w:rFonts w:hint="eastAsia" w:ascii="仿宋" w:hAnsi="仿宋" w:eastAsia="仿宋" w:cs="仿宋"/>
                <w:sz w:val="24"/>
                <w:szCs w:val="24"/>
                <w:highlight w:val="none"/>
              </w:rPr>
            </w:pPr>
          </w:p>
        </w:tc>
        <w:tc>
          <w:tcPr>
            <w:tcW w:w="1625" w:type="dxa"/>
            <w:tcBorders>
              <w:top w:val="single" w:color="000000" w:sz="2" w:space="0"/>
              <w:left w:val="single" w:color="000000" w:sz="2" w:space="0"/>
              <w:bottom w:val="single" w:color="000000" w:sz="2" w:space="0"/>
              <w:right w:val="single" w:color="000000" w:sz="2" w:space="0"/>
            </w:tcBorders>
            <w:vAlign w:val="center"/>
          </w:tcPr>
          <w:p w14:paraId="20794C7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邮政编码</w:t>
            </w:r>
          </w:p>
        </w:tc>
        <w:tc>
          <w:tcPr>
            <w:tcW w:w="1774" w:type="dxa"/>
            <w:tcBorders>
              <w:top w:val="single" w:color="000000" w:sz="2" w:space="0"/>
              <w:left w:val="single" w:color="000000" w:sz="2" w:space="0"/>
              <w:bottom w:val="single" w:color="000000" w:sz="2" w:space="0"/>
              <w:right w:val="single" w:color="000000" w:sz="2" w:space="0"/>
            </w:tcBorders>
            <w:vAlign w:val="center"/>
          </w:tcPr>
          <w:p w14:paraId="58444224">
            <w:pPr>
              <w:spacing w:line="360" w:lineRule="auto"/>
              <w:jc w:val="center"/>
              <w:rPr>
                <w:rFonts w:hint="eastAsia" w:ascii="仿宋" w:hAnsi="仿宋" w:eastAsia="仿宋" w:cs="仿宋"/>
                <w:sz w:val="24"/>
                <w:szCs w:val="24"/>
                <w:highlight w:val="none"/>
              </w:rPr>
            </w:pPr>
          </w:p>
        </w:tc>
      </w:tr>
      <w:tr w14:paraId="62E38A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983" w:type="dxa"/>
            <w:vMerge w:val="restart"/>
            <w:tcBorders>
              <w:top w:val="nil"/>
              <w:left w:val="single" w:color="000000" w:sz="2" w:space="0"/>
              <w:bottom w:val="nil"/>
              <w:right w:val="single" w:color="000000" w:sz="2" w:space="0"/>
            </w:tcBorders>
            <w:vAlign w:val="center"/>
          </w:tcPr>
          <w:p w14:paraId="070AE441">
            <w:pPr>
              <w:spacing w:line="360" w:lineRule="auto"/>
              <w:jc w:val="center"/>
              <w:rPr>
                <w:rFonts w:hint="eastAsia" w:ascii="仿宋" w:hAnsi="仿宋" w:eastAsia="仿宋" w:cs="仿宋"/>
                <w:sz w:val="24"/>
                <w:szCs w:val="24"/>
                <w:highlight w:val="none"/>
              </w:rPr>
            </w:pPr>
          </w:p>
          <w:p w14:paraId="5CE634A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联系方式</w:t>
            </w:r>
          </w:p>
        </w:tc>
        <w:tc>
          <w:tcPr>
            <w:tcW w:w="1075" w:type="dxa"/>
            <w:tcBorders>
              <w:top w:val="single" w:color="000000" w:sz="2" w:space="0"/>
              <w:left w:val="single" w:color="000000" w:sz="2" w:space="0"/>
              <w:bottom w:val="single" w:color="000000" w:sz="2" w:space="0"/>
              <w:right w:val="single" w:color="000000" w:sz="2" w:space="0"/>
            </w:tcBorders>
            <w:vAlign w:val="center"/>
          </w:tcPr>
          <w:p w14:paraId="5593589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p>
        </w:tc>
        <w:tc>
          <w:tcPr>
            <w:tcW w:w="2513" w:type="dxa"/>
            <w:gridSpan w:val="2"/>
            <w:tcBorders>
              <w:top w:val="single" w:color="000000" w:sz="2" w:space="0"/>
              <w:left w:val="single" w:color="000000" w:sz="2" w:space="0"/>
              <w:bottom w:val="single" w:color="000000" w:sz="2" w:space="0"/>
              <w:right w:val="single" w:color="000000" w:sz="2" w:space="0"/>
            </w:tcBorders>
            <w:vAlign w:val="center"/>
          </w:tcPr>
          <w:p w14:paraId="505A909C">
            <w:pPr>
              <w:spacing w:line="360" w:lineRule="auto"/>
              <w:jc w:val="center"/>
              <w:rPr>
                <w:rFonts w:hint="eastAsia" w:ascii="仿宋" w:hAnsi="仿宋" w:eastAsia="仿宋" w:cs="仿宋"/>
                <w:sz w:val="24"/>
                <w:szCs w:val="24"/>
                <w:highlight w:val="none"/>
              </w:rPr>
            </w:pPr>
          </w:p>
        </w:tc>
        <w:tc>
          <w:tcPr>
            <w:tcW w:w="1625" w:type="dxa"/>
            <w:tcBorders>
              <w:top w:val="single" w:color="000000" w:sz="2" w:space="0"/>
              <w:left w:val="single" w:color="000000" w:sz="2" w:space="0"/>
              <w:bottom w:val="single" w:color="000000" w:sz="2" w:space="0"/>
              <w:right w:val="single" w:color="000000" w:sz="2" w:space="0"/>
            </w:tcBorders>
            <w:vAlign w:val="center"/>
          </w:tcPr>
          <w:p w14:paraId="386CCFF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电话</w:t>
            </w:r>
          </w:p>
        </w:tc>
        <w:tc>
          <w:tcPr>
            <w:tcW w:w="1774" w:type="dxa"/>
            <w:tcBorders>
              <w:top w:val="single" w:color="000000" w:sz="2" w:space="0"/>
              <w:left w:val="single" w:color="000000" w:sz="2" w:space="0"/>
              <w:bottom w:val="single" w:color="000000" w:sz="2" w:space="0"/>
              <w:right w:val="single" w:color="000000" w:sz="2" w:space="0"/>
            </w:tcBorders>
            <w:vAlign w:val="center"/>
          </w:tcPr>
          <w:p w14:paraId="3E0E532F">
            <w:pPr>
              <w:spacing w:line="360" w:lineRule="auto"/>
              <w:jc w:val="center"/>
              <w:rPr>
                <w:rFonts w:hint="eastAsia" w:ascii="仿宋" w:hAnsi="仿宋" w:eastAsia="仿宋" w:cs="仿宋"/>
                <w:sz w:val="24"/>
                <w:szCs w:val="24"/>
                <w:highlight w:val="none"/>
              </w:rPr>
            </w:pPr>
          </w:p>
        </w:tc>
      </w:tr>
      <w:tr w14:paraId="79461C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983" w:type="dxa"/>
            <w:vMerge w:val="continue"/>
            <w:tcBorders>
              <w:top w:val="nil"/>
              <w:left w:val="single" w:color="000000" w:sz="2" w:space="0"/>
              <w:bottom w:val="nil"/>
              <w:right w:val="single" w:color="000000" w:sz="2" w:space="0"/>
            </w:tcBorders>
            <w:vAlign w:val="center"/>
          </w:tcPr>
          <w:p w14:paraId="2844263A">
            <w:pPr>
              <w:kinsoku/>
              <w:autoSpaceDE/>
              <w:autoSpaceDN/>
              <w:adjustRightInd/>
              <w:snapToGrid/>
              <w:spacing w:line="360" w:lineRule="auto"/>
              <w:textAlignment w:val="auto"/>
              <w:rPr>
                <w:rFonts w:hint="eastAsia" w:ascii="仿宋" w:hAnsi="仿宋" w:eastAsia="仿宋" w:cs="仿宋"/>
                <w:sz w:val="24"/>
                <w:szCs w:val="24"/>
                <w:highlight w:val="none"/>
              </w:rPr>
            </w:pPr>
          </w:p>
        </w:tc>
        <w:tc>
          <w:tcPr>
            <w:tcW w:w="1075" w:type="dxa"/>
            <w:tcBorders>
              <w:top w:val="single" w:color="000000" w:sz="2" w:space="0"/>
              <w:left w:val="single" w:color="000000" w:sz="2" w:space="0"/>
              <w:bottom w:val="single" w:color="000000" w:sz="2" w:space="0"/>
              <w:right w:val="single" w:color="000000" w:sz="2" w:space="0"/>
            </w:tcBorders>
            <w:vAlign w:val="center"/>
          </w:tcPr>
          <w:p w14:paraId="4116AEF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传真</w:t>
            </w:r>
          </w:p>
        </w:tc>
        <w:tc>
          <w:tcPr>
            <w:tcW w:w="2513" w:type="dxa"/>
            <w:gridSpan w:val="2"/>
            <w:tcBorders>
              <w:top w:val="single" w:color="000000" w:sz="2" w:space="0"/>
              <w:left w:val="single" w:color="000000" w:sz="2" w:space="0"/>
              <w:bottom w:val="single" w:color="000000" w:sz="2" w:space="0"/>
              <w:right w:val="single" w:color="000000" w:sz="2" w:space="0"/>
            </w:tcBorders>
            <w:vAlign w:val="center"/>
          </w:tcPr>
          <w:p w14:paraId="36B79BBC">
            <w:pPr>
              <w:spacing w:line="360" w:lineRule="auto"/>
              <w:jc w:val="center"/>
              <w:rPr>
                <w:rFonts w:hint="eastAsia" w:ascii="仿宋" w:hAnsi="仿宋" w:eastAsia="仿宋" w:cs="仿宋"/>
                <w:sz w:val="24"/>
                <w:szCs w:val="24"/>
                <w:highlight w:val="none"/>
              </w:rPr>
            </w:pPr>
          </w:p>
        </w:tc>
        <w:tc>
          <w:tcPr>
            <w:tcW w:w="1625" w:type="dxa"/>
            <w:tcBorders>
              <w:top w:val="single" w:color="000000" w:sz="2" w:space="0"/>
              <w:left w:val="single" w:color="000000" w:sz="2" w:space="0"/>
              <w:bottom w:val="single" w:color="000000" w:sz="2" w:space="0"/>
              <w:right w:val="single" w:color="000000" w:sz="2" w:space="0"/>
            </w:tcBorders>
            <w:vAlign w:val="center"/>
          </w:tcPr>
          <w:p w14:paraId="79DA7A8B">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网址</w:t>
            </w:r>
          </w:p>
        </w:tc>
        <w:tc>
          <w:tcPr>
            <w:tcW w:w="1774" w:type="dxa"/>
            <w:tcBorders>
              <w:top w:val="single" w:color="000000" w:sz="2" w:space="0"/>
              <w:left w:val="single" w:color="000000" w:sz="2" w:space="0"/>
              <w:bottom w:val="single" w:color="000000" w:sz="2" w:space="0"/>
              <w:right w:val="single" w:color="000000" w:sz="2" w:space="0"/>
            </w:tcBorders>
            <w:vAlign w:val="center"/>
          </w:tcPr>
          <w:p w14:paraId="6051B4F0">
            <w:pPr>
              <w:spacing w:line="360" w:lineRule="auto"/>
              <w:jc w:val="center"/>
              <w:rPr>
                <w:rFonts w:hint="eastAsia" w:ascii="仿宋" w:hAnsi="仿宋" w:eastAsia="仿宋" w:cs="仿宋"/>
                <w:sz w:val="24"/>
                <w:szCs w:val="24"/>
                <w:highlight w:val="none"/>
              </w:rPr>
            </w:pPr>
          </w:p>
        </w:tc>
      </w:tr>
      <w:tr w14:paraId="2D995C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983" w:type="dxa"/>
            <w:tcBorders>
              <w:top w:val="single" w:color="000000" w:sz="2" w:space="0"/>
              <w:left w:val="single" w:color="000000" w:sz="2" w:space="0"/>
              <w:bottom w:val="single" w:color="000000" w:sz="2" w:space="0"/>
              <w:right w:val="single" w:color="000000" w:sz="2" w:space="0"/>
            </w:tcBorders>
            <w:vAlign w:val="center"/>
          </w:tcPr>
          <w:p w14:paraId="597D0EF2">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组织结构</w:t>
            </w:r>
          </w:p>
        </w:tc>
        <w:tc>
          <w:tcPr>
            <w:tcW w:w="6987" w:type="dxa"/>
            <w:gridSpan w:val="5"/>
            <w:tcBorders>
              <w:top w:val="single" w:color="000000" w:sz="2" w:space="0"/>
              <w:left w:val="single" w:color="000000" w:sz="2" w:space="0"/>
              <w:bottom w:val="single" w:color="000000" w:sz="2" w:space="0"/>
              <w:right w:val="single" w:color="000000" w:sz="2" w:space="0"/>
            </w:tcBorders>
            <w:vAlign w:val="center"/>
          </w:tcPr>
          <w:p w14:paraId="47C643F7">
            <w:pPr>
              <w:spacing w:line="360" w:lineRule="auto"/>
              <w:jc w:val="center"/>
              <w:rPr>
                <w:rFonts w:hint="eastAsia" w:ascii="仿宋" w:hAnsi="仿宋" w:eastAsia="仿宋" w:cs="仿宋"/>
                <w:sz w:val="24"/>
                <w:szCs w:val="24"/>
                <w:highlight w:val="none"/>
              </w:rPr>
            </w:pPr>
          </w:p>
        </w:tc>
      </w:tr>
      <w:tr w14:paraId="494CD2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983" w:type="dxa"/>
            <w:tcBorders>
              <w:top w:val="single" w:color="000000" w:sz="2" w:space="0"/>
              <w:left w:val="single" w:color="000000" w:sz="2" w:space="0"/>
              <w:bottom w:val="single" w:color="000000" w:sz="2" w:space="0"/>
              <w:right w:val="single" w:color="000000" w:sz="2" w:space="0"/>
            </w:tcBorders>
            <w:vAlign w:val="center"/>
          </w:tcPr>
          <w:p w14:paraId="744D04B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p>
        </w:tc>
        <w:tc>
          <w:tcPr>
            <w:tcW w:w="1075" w:type="dxa"/>
            <w:tcBorders>
              <w:top w:val="single" w:color="000000" w:sz="2" w:space="0"/>
              <w:left w:val="single" w:color="000000" w:sz="2" w:space="0"/>
              <w:bottom w:val="single" w:color="000000" w:sz="2" w:space="0"/>
              <w:right w:val="single" w:color="000000" w:sz="2" w:space="0"/>
            </w:tcBorders>
            <w:vAlign w:val="center"/>
          </w:tcPr>
          <w:p w14:paraId="0CD4D97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姓名</w:t>
            </w:r>
          </w:p>
        </w:tc>
        <w:tc>
          <w:tcPr>
            <w:tcW w:w="2513" w:type="dxa"/>
            <w:gridSpan w:val="2"/>
            <w:tcBorders>
              <w:top w:val="single" w:color="000000" w:sz="2" w:space="0"/>
              <w:left w:val="single" w:color="000000" w:sz="2" w:space="0"/>
              <w:bottom w:val="single" w:color="000000" w:sz="2" w:space="0"/>
              <w:right w:val="single" w:color="000000" w:sz="2" w:space="0"/>
            </w:tcBorders>
            <w:vAlign w:val="center"/>
          </w:tcPr>
          <w:p w14:paraId="2DE1DA8F">
            <w:pPr>
              <w:spacing w:line="360" w:lineRule="auto"/>
              <w:jc w:val="center"/>
              <w:rPr>
                <w:rFonts w:hint="eastAsia" w:ascii="仿宋" w:hAnsi="仿宋" w:eastAsia="仿宋" w:cs="仿宋"/>
                <w:sz w:val="24"/>
                <w:szCs w:val="24"/>
                <w:highlight w:val="none"/>
              </w:rPr>
            </w:pPr>
          </w:p>
        </w:tc>
        <w:tc>
          <w:tcPr>
            <w:tcW w:w="1625" w:type="dxa"/>
            <w:tcBorders>
              <w:top w:val="single" w:color="000000" w:sz="2" w:space="0"/>
              <w:left w:val="single" w:color="000000" w:sz="2" w:space="0"/>
              <w:bottom w:val="single" w:color="000000" w:sz="2" w:space="0"/>
              <w:right w:val="single" w:color="000000" w:sz="2" w:space="0"/>
            </w:tcBorders>
            <w:vAlign w:val="center"/>
          </w:tcPr>
          <w:p w14:paraId="70ACD33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电话</w:t>
            </w:r>
          </w:p>
        </w:tc>
        <w:tc>
          <w:tcPr>
            <w:tcW w:w="1774" w:type="dxa"/>
            <w:tcBorders>
              <w:top w:val="single" w:color="000000" w:sz="2" w:space="0"/>
              <w:left w:val="single" w:color="000000" w:sz="2" w:space="0"/>
              <w:bottom w:val="single" w:color="000000" w:sz="2" w:space="0"/>
              <w:right w:val="single" w:color="000000" w:sz="2" w:space="0"/>
            </w:tcBorders>
            <w:vAlign w:val="center"/>
          </w:tcPr>
          <w:p w14:paraId="50D0E72F">
            <w:pPr>
              <w:spacing w:line="360" w:lineRule="auto"/>
              <w:jc w:val="center"/>
              <w:rPr>
                <w:rFonts w:hint="eastAsia" w:ascii="仿宋" w:hAnsi="仿宋" w:eastAsia="仿宋" w:cs="仿宋"/>
                <w:sz w:val="24"/>
                <w:szCs w:val="24"/>
                <w:highlight w:val="none"/>
              </w:rPr>
            </w:pPr>
          </w:p>
        </w:tc>
      </w:tr>
      <w:tr w14:paraId="73E7EF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983" w:type="dxa"/>
            <w:tcBorders>
              <w:top w:val="single" w:color="000000" w:sz="2" w:space="0"/>
              <w:left w:val="single" w:color="000000" w:sz="2" w:space="0"/>
              <w:bottom w:val="single" w:color="000000" w:sz="2" w:space="0"/>
              <w:right w:val="single" w:color="000000" w:sz="2" w:space="0"/>
            </w:tcBorders>
            <w:vAlign w:val="center"/>
          </w:tcPr>
          <w:p w14:paraId="4AEBDF0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p>
        </w:tc>
        <w:tc>
          <w:tcPr>
            <w:tcW w:w="2600" w:type="dxa"/>
            <w:gridSpan w:val="2"/>
            <w:tcBorders>
              <w:top w:val="single" w:color="000000" w:sz="2" w:space="0"/>
              <w:left w:val="single" w:color="000000" w:sz="2" w:space="0"/>
              <w:bottom w:val="single" w:color="000000" w:sz="2" w:space="0"/>
              <w:right w:val="single" w:color="000000" w:sz="2" w:space="0"/>
            </w:tcBorders>
            <w:vAlign w:val="center"/>
          </w:tcPr>
          <w:p w14:paraId="4AC535BF">
            <w:pPr>
              <w:spacing w:line="360" w:lineRule="auto"/>
              <w:jc w:val="center"/>
              <w:rPr>
                <w:rFonts w:hint="eastAsia" w:ascii="仿宋" w:hAnsi="仿宋" w:eastAsia="仿宋" w:cs="仿宋"/>
                <w:sz w:val="24"/>
                <w:szCs w:val="24"/>
                <w:highlight w:val="none"/>
              </w:rPr>
            </w:pPr>
          </w:p>
        </w:tc>
        <w:tc>
          <w:tcPr>
            <w:tcW w:w="4387" w:type="dxa"/>
            <w:gridSpan w:val="3"/>
            <w:tcBorders>
              <w:top w:val="single" w:color="000000" w:sz="2" w:space="0"/>
              <w:left w:val="single" w:color="000000" w:sz="2" w:space="0"/>
              <w:bottom w:val="single" w:color="000000" w:sz="2" w:space="0"/>
              <w:right w:val="single" w:color="000000" w:sz="2" w:space="0"/>
            </w:tcBorders>
            <w:vAlign w:val="center"/>
          </w:tcPr>
          <w:p w14:paraId="14A9F29D">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员工总人数：</w:t>
            </w:r>
          </w:p>
        </w:tc>
      </w:tr>
      <w:tr w14:paraId="6AADCC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983" w:type="dxa"/>
            <w:tcBorders>
              <w:top w:val="single" w:color="000000" w:sz="2" w:space="0"/>
              <w:left w:val="single" w:color="000000" w:sz="2" w:space="0"/>
              <w:bottom w:val="single" w:color="000000" w:sz="2" w:space="0"/>
              <w:right w:val="single" w:color="000000" w:sz="2" w:space="0"/>
            </w:tcBorders>
            <w:vAlign w:val="center"/>
          </w:tcPr>
          <w:p w14:paraId="09E0C06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营业执照号</w:t>
            </w:r>
          </w:p>
        </w:tc>
        <w:tc>
          <w:tcPr>
            <w:tcW w:w="6987" w:type="dxa"/>
            <w:gridSpan w:val="5"/>
            <w:tcBorders>
              <w:top w:val="single" w:color="000000" w:sz="2" w:space="0"/>
              <w:left w:val="single" w:color="000000" w:sz="2" w:space="0"/>
              <w:bottom w:val="single" w:color="000000" w:sz="2" w:space="0"/>
              <w:right w:val="single" w:color="000000" w:sz="2" w:space="0"/>
            </w:tcBorders>
            <w:vAlign w:val="center"/>
          </w:tcPr>
          <w:p w14:paraId="60A92075">
            <w:pPr>
              <w:spacing w:line="360" w:lineRule="auto"/>
              <w:jc w:val="center"/>
              <w:rPr>
                <w:rFonts w:hint="eastAsia" w:ascii="仿宋" w:hAnsi="仿宋" w:eastAsia="仿宋" w:cs="仿宋"/>
                <w:sz w:val="24"/>
                <w:szCs w:val="24"/>
                <w:highlight w:val="none"/>
              </w:rPr>
            </w:pPr>
          </w:p>
        </w:tc>
      </w:tr>
      <w:tr w14:paraId="738DDE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983" w:type="dxa"/>
            <w:tcBorders>
              <w:top w:val="single" w:color="000000" w:sz="2" w:space="0"/>
              <w:left w:val="single" w:color="000000" w:sz="2" w:space="0"/>
              <w:bottom w:val="single" w:color="000000" w:sz="2" w:space="0"/>
              <w:right w:val="single" w:color="000000" w:sz="2" w:space="0"/>
            </w:tcBorders>
            <w:vAlign w:val="center"/>
          </w:tcPr>
          <w:p w14:paraId="4BF4AB8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注册资金</w:t>
            </w:r>
          </w:p>
        </w:tc>
        <w:tc>
          <w:tcPr>
            <w:tcW w:w="6987" w:type="dxa"/>
            <w:gridSpan w:val="5"/>
            <w:tcBorders>
              <w:top w:val="single" w:color="000000" w:sz="2" w:space="0"/>
              <w:left w:val="single" w:color="000000" w:sz="2" w:space="0"/>
              <w:bottom w:val="single" w:color="000000" w:sz="2" w:space="0"/>
              <w:right w:val="single" w:color="000000" w:sz="2" w:space="0"/>
            </w:tcBorders>
            <w:vAlign w:val="center"/>
          </w:tcPr>
          <w:p w14:paraId="303DF61F">
            <w:pPr>
              <w:spacing w:line="360" w:lineRule="auto"/>
              <w:jc w:val="center"/>
              <w:rPr>
                <w:rFonts w:hint="eastAsia" w:ascii="仿宋" w:hAnsi="仿宋" w:eastAsia="仿宋" w:cs="仿宋"/>
                <w:sz w:val="24"/>
                <w:szCs w:val="24"/>
                <w:highlight w:val="none"/>
              </w:rPr>
            </w:pPr>
          </w:p>
        </w:tc>
      </w:tr>
      <w:tr w14:paraId="1D93A0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983" w:type="dxa"/>
            <w:tcBorders>
              <w:top w:val="single" w:color="000000" w:sz="2" w:space="0"/>
              <w:left w:val="single" w:color="000000" w:sz="2" w:space="0"/>
              <w:bottom w:val="single" w:color="000000" w:sz="2" w:space="0"/>
              <w:right w:val="single" w:color="000000" w:sz="2" w:space="0"/>
            </w:tcBorders>
            <w:vAlign w:val="center"/>
          </w:tcPr>
          <w:p w14:paraId="2B42489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开户银行</w:t>
            </w:r>
          </w:p>
        </w:tc>
        <w:tc>
          <w:tcPr>
            <w:tcW w:w="6987" w:type="dxa"/>
            <w:gridSpan w:val="5"/>
            <w:tcBorders>
              <w:top w:val="single" w:color="000000" w:sz="2" w:space="0"/>
              <w:left w:val="single" w:color="000000" w:sz="2" w:space="0"/>
              <w:bottom w:val="single" w:color="000000" w:sz="2" w:space="0"/>
              <w:right w:val="single" w:color="000000" w:sz="2" w:space="0"/>
            </w:tcBorders>
            <w:vAlign w:val="center"/>
          </w:tcPr>
          <w:p w14:paraId="3C404817">
            <w:pPr>
              <w:spacing w:line="360" w:lineRule="auto"/>
              <w:jc w:val="center"/>
              <w:rPr>
                <w:rFonts w:hint="eastAsia" w:ascii="仿宋" w:hAnsi="仿宋" w:eastAsia="仿宋" w:cs="仿宋"/>
                <w:sz w:val="24"/>
                <w:szCs w:val="24"/>
                <w:highlight w:val="none"/>
              </w:rPr>
            </w:pPr>
          </w:p>
        </w:tc>
      </w:tr>
      <w:tr w14:paraId="60DAD6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983" w:type="dxa"/>
            <w:tcBorders>
              <w:top w:val="single" w:color="000000" w:sz="2" w:space="0"/>
              <w:left w:val="single" w:color="000000" w:sz="2" w:space="0"/>
              <w:bottom w:val="single" w:color="000000" w:sz="2" w:space="0"/>
              <w:right w:val="single" w:color="000000" w:sz="2" w:space="0"/>
            </w:tcBorders>
            <w:vAlign w:val="center"/>
          </w:tcPr>
          <w:p w14:paraId="5E49C4F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账号</w:t>
            </w:r>
          </w:p>
        </w:tc>
        <w:tc>
          <w:tcPr>
            <w:tcW w:w="6987" w:type="dxa"/>
            <w:gridSpan w:val="5"/>
            <w:tcBorders>
              <w:top w:val="single" w:color="000000" w:sz="2" w:space="0"/>
              <w:left w:val="single" w:color="000000" w:sz="2" w:space="0"/>
              <w:bottom w:val="single" w:color="000000" w:sz="2" w:space="0"/>
              <w:right w:val="single" w:color="000000" w:sz="2" w:space="0"/>
            </w:tcBorders>
            <w:vAlign w:val="center"/>
          </w:tcPr>
          <w:p w14:paraId="43D163AC">
            <w:pPr>
              <w:spacing w:line="360" w:lineRule="auto"/>
              <w:jc w:val="center"/>
              <w:rPr>
                <w:rFonts w:hint="eastAsia" w:ascii="仿宋" w:hAnsi="仿宋" w:eastAsia="仿宋" w:cs="仿宋"/>
                <w:sz w:val="24"/>
                <w:szCs w:val="24"/>
                <w:highlight w:val="none"/>
              </w:rPr>
            </w:pPr>
          </w:p>
        </w:tc>
      </w:tr>
      <w:tr w14:paraId="1BD5E5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5" w:hRule="atLeast"/>
        </w:trPr>
        <w:tc>
          <w:tcPr>
            <w:tcW w:w="1983" w:type="dxa"/>
            <w:tcBorders>
              <w:top w:val="single" w:color="000000" w:sz="2" w:space="0"/>
              <w:left w:val="single" w:color="000000" w:sz="2" w:space="0"/>
              <w:bottom w:val="single" w:color="000000" w:sz="2" w:space="0"/>
              <w:right w:val="single" w:color="000000" w:sz="2" w:space="0"/>
            </w:tcBorders>
            <w:vAlign w:val="center"/>
          </w:tcPr>
          <w:p w14:paraId="5865FD89">
            <w:pPr>
              <w:spacing w:line="360" w:lineRule="auto"/>
              <w:jc w:val="center"/>
              <w:rPr>
                <w:rFonts w:hint="eastAsia" w:ascii="仿宋" w:hAnsi="仿宋" w:eastAsia="仿宋" w:cs="仿宋"/>
                <w:sz w:val="24"/>
                <w:szCs w:val="24"/>
                <w:highlight w:val="none"/>
              </w:rPr>
            </w:pPr>
          </w:p>
          <w:p w14:paraId="16535212">
            <w:pPr>
              <w:spacing w:line="360" w:lineRule="auto"/>
              <w:jc w:val="center"/>
              <w:rPr>
                <w:rFonts w:hint="eastAsia" w:ascii="仿宋" w:hAnsi="仿宋" w:eastAsia="仿宋" w:cs="仿宋"/>
                <w:sz w:val="24"/>
                <w:szCs w:val="24"/>
                <w:highlight w:val="none"/>
              </w:rPr>
            </w:pPr>
          </w:p>
          <w:p w14:paraId="6BAE4B6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经营范围</w:t>
            </w:r>
          </w:p>
        </w:tc>
        <w:tc>
          <w:tcPr>
            <w:tcW w:w="6987" w:type="dxa"/>
            <w:gridSpan w:val="5"/>
            <w:tcBorders>
              <w:top w:val="single" w:color="000000" w:sz="2" w:space="0"/>
              <w:left w:val="single" w:color="000000" w:sz="2" w:space="0"/>
              <w:bottom w:val="single" w:color="000000" w:sz="2" w:space="0"/>
              <w:right w:val="single" w:color="000000" w:sz="2" w:space="0"/>
            </w:tcBorders>
            <w:vAlign w:val="center"/>
          </w:tcPr>
          <w:p w14:paraId="7B3B1C21">
            <w:pPr>
              <w:spacing w:line="360" w:lineRule="auto"/>
              <w:jc w:val="center"/>
              <w:rPr>
                <w:rFonts w:hint="eastAsia" w:ascii="仿宋" w:hAnsi="仿宋" w:eastAsia="仿宋" w:cs="仿宋"/>
                <w:sz w:val="24"/>
                <w:szCs w:val="24"/>
                <w:highlight w:val="none"/>
              </w:rPr>
            </w:pPr>
          </w:p>
        </w:tc>
      </w:tr>
      <w:tr w14:paraId="7288B7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0" w:hRule="atLeast"/>
        </w:trPr>
        <w:tc>
          <w:tcPr>
            <w:tcW w:w="1983" w:type="dxa"/>
            <w:tcBorders>
              <w:top w:val="single" w:color="000000" w:sz="2" w:space="0"/>
              <w:left w:val="single" w:color="000000" w:sz="2" w:space="0"/>
              <w:bottom w:val="single" w:color="000000" w:sz="2" w:space="0"/>
              <w:right w:val="single" w:color="000000" w:sz="2" w:space="0"/>
            </w:tcBorders>
            <w:vAlign w:val="center"/>
          </w:tcPr>
          <w:p w14:paraId="39C8330E">
            <w:pPr>
              <w:spacing w:line="360" w:lineRule="auto"/>
              <w:jc w:val="center"/>
              <w:rPr>
                <w:rFonts w:hint="eastAsia" w:ascii="仿宋" w:hAnsi="仿宋" w:eastAsia="仿宋" w:cs="仿宋"/>
                <w:sz w:val="24"/>
                <w:szCs w:val="24"/>
                <w:highlight w:val="none"/>
              </w:rPr>
            </w:pPr>
          </w:p>
          <w:p w14:paraId="19398F8A">
            <w:pPr>
              <w:spacing w:line="360" w:lineRule="auto"/>
              <w:jc w:val="center"/>
              <w:rPr>
                <w:rFonts w:hint="eastAsia" w:ascii="仿宋" w:hAnsi="仿宋" w:eastAsia="仿宋" w:cs="仿宋"/>
                <w:sz w:val="24"/>
                <w:szCs w:val="24"/>
                <w:highlight w:val="none"/>
              </w:rPr>
            </w:pPr>
          </w:p>
          <w:p w14:paraId="67968070">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备注</w:t>
            </w:r>
          </w:p>
        </w:tc>
        <w:tc>
          <w:tcPr>
            <w:tcW w:w="6987" w:type="dxa"/>
            <w:gridSpan w:val="5"/>
            <w:tcBorders>
              <w:top w:val="single" w:color="000000" w:sz="2" w:space="0"/>
              <w:left w:val="single" w:color="000000" w:sz="2" w:space="0"/>
              <w:bottom w:val="single" w:color="000000" w:sz="2" w:space="0"/>
              <w:right w:val="single" w:color="000000" w:sz="2" w:space="0"/>
            </w:tcBorders>
            <w:vAlign w:val="center"/>
          </w:tcPr>
          <w:p w14:paraId="74ED44D0">
            <w:pPr>
              <w:spacing w:line="360" w:lineRule="auto"/>
              <w:jc w:val="center"/>
              <w:rPr>
                <w:rFonts w:hint="eastAsia" w:ascii="仿宋" w:hAnsi="仿宋" w:eastAsia="仿宋" w:cs="仿宋"/>
                <w:sz w:val="24"/>
                <w:szCs w:val="24"/>
                <w:highlight w:val="none"/>
              </w:rPr>
            </w:pPr>
          </w:p>
        </w:tc>
      </w:tr>
    </w:tbl>
    <w:p w14:paraId="3B49F9D7">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7FF161F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后附营业执照等资格审查资料</w:t>
      </w:r>
    </w:p>
    <w:p w14:paraId="3162244E">
      <w:pPr>
        <w:pStyle w:val="5"/>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2A0FF6E8">
      <w:pPr>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353A23CC">
      <w:pPr>
        <w:pStyle w:val="5"/>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410D2482">
      <w:pPr>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2F079C74">
      <w:pPr>
        <w:pStyle w:val="5"/>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003E0215">
      <w:pPr>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436A75E3">
      <w:pPr>
        <w:bidi w:val="0"/>
        <w:spacing w:line="360" w:lineRule="auto"/>
        <w:jc w:val="center"/>
        <w:outlineLvl w:val="1"/>
        <w:rPr>
          <w:rFonts w:hint="eastAsia" w:ascii="仿宋" w:hAnsi="仿宋" w:eastAsia="仿宋" w:cs="仿宋"/>
          <w:b/>
          <w:bCs/>
          <w:sz w:val="28"/>
          <w:szCs w:val="28"/>
          <w:highlight w:val="none"/>
          <w:lang w:val="en-US" w:eastAsia="zh-CN"/>
        </w:rPr>
      </w:pPr>
      <w:bookmarkStart w:id="87" w:name="_Toc12734"/>
      <w:bookmarkEnd w:id="87"/>
      <w:bookmarkStart w:id="88" w:name="_Toc18853"/>
      <w:r>
        <w:rPr>
          <w:rFonts w:hint="eastAsia" w:ascii="仿宋" w:hAnsi="仿宋" w:eastAsia="仿宋" w:cs="仿宋"/>
          <w:b/>
          <w:bCs/>
          <w:sz w:val="28"/>
          <w:szCs w:val="28"/>
          <w:highlight w:val="none"/>
          <w:lang w:val="en-US" w:eastAsia="zh-CN"/>
        </w:rPr>
        <w:t>六、服务方案</w:t>
      </w:r>
      <w:bookmarkEnd w:id="88"/>
    </w:p>
    <w:p w14:paraId="3509215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格式自拟</w:t>
      </w:r>
    </w:p>
    <w:p w14:paraId="312DA8E9">
      <w:pPr>
        <w:kinsoku/>
        <w:autoSpaceDE/>
        <w:autoSpaceDN/>
        <w:adjustRightInd/>
        <w:snapToGrid/>
        <w:spacing w:line="360" w:lineRule="auto"/>
        <w:textAlignment w:val="auto"/>
        <w:rPr>
          <w:rFonts w:hint="eastAsia" w:ascii="仿宋" w:hAnsi="仿宋" w:eastAsia="仿宋" w:cs="仿宋"/>
          <w:color w:val="auto"/>
          <w:highlight w:val="none"/>
        </w:rPr>
        <w:sectPr>
          <w:pgSz w:w="11906" w:h="16839"/>
          <w:pgMar w:top="1431" w:right="1785" w:bottom="1157" w:left="1785" w:header="0" w:footer="992" w:gutter="0"/>
          <w:pgNumType w:fmt="decimal"/>
          <w:cols w:space="720" w:num="1"/>
        </w:sectPr>
      </w:pPr>
    </w:p>
    <w:p w14:paraId="00B647EF">
      <w:pPr>
        <w:bidi w:val="0"/>
        <w:spacing w:line="360" w:lineRule="auto"/>
        <w:jc w:val="center"/>
        <w:outlineLvl w:val="1"/>
        <w:rPr>
          <w:rFonts w:hint="eastAsia" w:ascii="仿宋" w:hAnsi="仿宋" w:eastAsia="仿宋" w:cs="仿宋"/>
          <w:b/>
          <w:bCs/>
          <w:sz w:val="28"/>
          <w:szCs w:val="28"/>
          <w:highlight w:val="none"/>
          <w:lang w:val="en-US" w:eastAsia="zh-CN"/>
        </w:rPr>
      </w:pPr>
      <w:bookmarkStart w:id="89" w:name="_Toc14726"/>
      <w:bookmarkEnd w:id="89"/>
      <w:bookmarkStart w:id="90" w:name="_Toc31743"/>
      <w:r>
        <w:rPr>
          <w:rFonts w:hint="eastAsia" w:ascii="仿宋" w:hAnsi="仿宋" w:eastAsia="仿宋" w:cs="仿宋"/>
          <w:b/>
          <w:bCs/>
          <w:sz w:val="28"/>
          <w:szCs w:val="28"/>
          <w:highlight w:val="none"/>
          <w:lang w:val="en-US" w:eastAsia="zh-CN"/>
        </w:rPr>
        <w:t>七、服务承诺</w:t>
      </w:r>
      <w:bookmarkEnd w:id="90"/>
    </w:p>
    <w:p w14:paraId="43E3F032">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格式自拟</w:t>
      </w:r>
    </w:p>
    <w:p w14:paraId="5A1833EF">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55E31F75">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553C8F55">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3C81F59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6AFCF4F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5D57E9DB">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5F7837A2">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17D355C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2053794E">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607DB8EF">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0676DAD7">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6151B353">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586C556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7F8E067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14862282">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58971F6A">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6C52A92C">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供应商：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（企业电子签章）</w:t>
      </w:r>
    </w:p>
    <w:p w14:paraId="607430E5">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法定代表人或授权委托人：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r>
        <w:rPr>
          <w:rFonts w:hint="eastAsia" w:ascii="仿宋" w:hAnsi="仿宋" w:eastAsia="仿宋" w:cs="仿宋"/>
          <w:color w:val="auto"/>
          <w:sz w:val="24"/>
          <w:szCs w:val="24"/>
          <w:highlight w:val="none"/>
        </w:rPr>
        <w:t>个人电子签名或签章</w:t>
      </w:r>
      <w:r>
        <w:rPr>
          <w:rFonts w:hint="eastAsia" w:ascii="仿宋" w:hAnsi="仿宋" w:eastAsia="仿宋" w:cs="仿宋"/>
          <w:sz w:val="24"/>
          <w:szCs w:val="24"/>
          <w:highlight w:val="none"/>
        </w:rPr>
        <w:t>）</w:t>
      </w:r>
    </w:p>
    <w:p w14:paraId="604FE76E">
      <w:pPr>
        <w:spacing w:line="360" w:lineRule="auto"/>
        <w:jc w:val="right"/>
        <w:rPr>
          <w:rFonts w:hint="eastAsia" w:ascii="仿宋" w:hAnsi="仿宋" w:eastAsia="仿宋" w:cs="仿宋"/>
          <w:highlight w:val="none"/>
        </w:rPr>
      </w:pP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 年       月       日</w:t>
      </w:r>
    </w:p>
    <w:p w14:paraId="4C28DEC3">
      <w:pPr>
        <w:kinsoku/>
        <w:autoSpaceDE/>
        <w:autoSpaceDN/>
        <w:adjustRightInd/>
        <w:snapToGrid/>
        <w:spacing w:line="360" w:lineRule="auto"/>
        <w:textAlignment w:val="auto"/>
        <w:rPr>
          <w:rFonts w:hint="eastAsia" w:ascii="仿宋" w:hAnsi="仿宋" w:eastAsia="仿宋" w:cs="仿宋"/>
          <w:color w:val="auto"/>
          <w:highlight w:val="none"/>
        </w:rPr>
        <w:sectPr>
          <w:pgSz w:w="11906" w:h="16839"/>
          <w:pgMar w:top="1431" w:right="1785" w:bottom="1157" w:left="1785" w:header="0" w:footer="992" w:gutter="0"/>
          <w:pgNumType w:fmt="decimal"/>
          <w:cols w:space="720" w:num="1"/>
        </w:sectPr>
      </w:pPr>
    </w:p>
    <w:p w14:paraId="7249373C">
      <w:pPr>
        <w:bidi w:val="0"/>
        <w:spacing w:line="360" w:lineRule="auto"/>
        <w:jc w:val="center"/>
        <w:outlineLvl w:val="1"/>
        <w:rPr>
          <w:rFonts w:hint="eastAsia" w:ascii="仿宋" w:hAnsi="仿宋" w:eastAsia="仿宋" w:cs="仿宋"/>
          <w:b/>
          <w:bCs/>
          <w:sz w:val="28"/>
          <w:szCs w:val="28"/>
          <w:highlight w:val="none"/>
          <w:lang w:val="en-US" w:eastAsia="zh-CN"/>
        </w:rPr>
      </w:pPr>
      <w:bookmarkStart w:id="91" w:name="_Toc8181"/>
      <w:bookmarkEnd w:id="91"/>
      <w:bookmarkStart w:id="92" w:name="_Toc25814"/>
      <w:r>
        <w:rPr>
          <w:rFonts w:hint="eastAsia" w:ascii="仿宋" w:hAnsi="仿宋" w:eastAsia="仿宋" w:cs="仿宋"/>
          <w:b/>
          <w:bCs/>
          <w:sz w:val="28"/>
          <w:szCs w:val="28"/>
          <w:highlight w:val="none"/>
          <w:lang w:val="en-US" w:eastAsia="zh-CN"/>
        </w:rPr>
        <w:t>八、反商业贿赂承诺书</w:t>
      </w:r>
      <w:bookmarkEnd w:id="92"/>
    </w:p>
    <w:p w14:paraId="5135103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我公司承诺：</w:t>
      </w:r>
    </w:p>
    <w:p w14:paraId="21B881DF">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在</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招标活动中，我公司保证做到：</w:t>
      </w:r>
    </w:p>
    <w:p w14:paraId="0103D96C">
      <w:pPr>
        <w:spacing w:line="360" w:lineRule="auto"/>
        <w:outlineLvl w:val="9"/>
        <w:rPr>
          <w:rFonts w:hint="eastAsia" w:ascii="仿宋" w:hAnsi="仿宋" w:eastAsia="仿宋" w:cs="仿宋"/>
          <w:sz w:val="24"/>
          <w:szCs w:val="24"/>
          <w:highlight w:val="none"/>
        </w:rPr>
      </w:pPr>
      <w:bookmarkStart w:id="93" w:name="_Toc17040"/>
      <w:bookmarkEnd w:id="93"/>
      <w:bookmarkStart w:id="94" w:name="_Toc30337"/>
      <w:r>
        <w:rPr>
          <w:rFonts w:hint="eastAsia" w:ascii="仿宋" w:hAnsi="仿宋" w:eastAsia="仿宋" w:cs="仿宋"/>
          <w:sz w:val="24"/>
          <w:szCs w:val="24"/>
          <w:highlight w:val="none"/>
        </w:rPr>
        <w:t>一、公平竞争参加本次招标活动。</w:t>
      </w:r>
      <w:bookmarkEnd w:id="94"/>
    </w:p>
    <w:p w14:paraId="72D4C816">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二、杜绝任何形式的商业贿赂行为。不向国家工作人员、政府采购代理机构工作人 员、评审专家及其亲属提供礼品礼金、有价证券、购物券、回扣、佣金、咨询费、劳务费、赞助费、宣传费、宴请；不为其报销各种消费凭证，不支付其旅游、娱乐等费用。</w:t>
      </w:r>
    </w:p>
    <w:p w14:paraId="2F26AF03">
      <w:pPr>
        <w:spacing w:line="360" w:lineRule="auto"/>
        <w:rPr>
          <w:rFonts w:hint="eastAsia" w:ascii="仿宋" w:hAnsi="仿宋" w:eastAsia="仿宋" w:cs="仿宋"/>
          <w:sz w:val="24"/>
          <w:szCs w:val="24"/>
          <w:highlight w:val="none"/>
        </w:rPr>
      </w:pPr>
      <w:bookmarkStart w:id="95" w:name="_Toc3005"/>
      <w:bookmarkEnd w:id="95"/>
      <w:r>
        <w:rPr>
          <w:rFonts w:hint="eastAsia" w:ascii="仿宋" w:hAnsi="仿宋" w:eastAsia="仿宋" w:cs="仿宋"/>
          <w:sz w:val="24"/>
          <w:szCs w:val="24"/>
          <w:highlight w:val="none"/>
        </w:rPr>
        <w:t>三、若出现上述行为，我公司及参与投标的工作人员愿意接受按照国家法律法规等有关规定给予的处罚。</w:t>
      </w:r>
    </w:p>
    <w:p w14:paraId="4D6293F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429C619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466BB34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25B0D9F3">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2E9545F5">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供应商：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（企业电子签章）</w:t>
      </w:r>
    </w:p>
    <w:p w14:paraId="37A79E91">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法定代表人或授权委托人：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r>
        <w:rPr>
          <w:rFonts w:hint="eastAsia" w:ascii="仿宋" w:hAnsi="仿宋" w:eastAsia="仿宋" w:cs="仿宋"/>
          <w:color w:val="auto"/>
          <w:sz w:val="24"/>
          <w:szCs w:val="24"/>
          <w:highlight w:val="none"/>
        </w:rPr>
        <w:t>个人电子签名或签章</w:t>
      </w:r>
      <w:r>
        <w:rPr>
          <w:rFonts w:hint="eastAsia" w:ascii="仿宋" w:hAnsi="仿宋" w:eastAsia="仿宋" w:cs="仿宋"/>
          <w:sz w:val="24"/>
          <w:szCs w:val="24"/>
          <w:highlight w:val="none"/>
        </w:rPr>
        <w:t>）</w:t>
      </w:r>
    </w:p>
    <w:p w14:paraId="0316D60E">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 年        月       日</w:t>
      </w:r>
    </w:p>
    <w:p w14:paraId="7C064D48">
      <w:pPr>
        <w:kinsoku/>
        <w:autoSpaceDE/>
        <w:autoSpaceDN/>
        <w:adjustRightInd/>
        <w:snapToGrid/>
        <w:spacing w:line="360" w:lineRule="auto"/>
        <w:textAlignment w:val="auto"/>
        <w:rPr>
          <w:rFonts w:hint="eastAsia" w:ascii="仿宋" w:hAnsi="仿宋" w:eastAsia="仿宋" w:cs="仿宋"/>
          <w:color w:val="auto"/>
          <w:sz w:val="24"/>
          <w:szCs w:val="24"/>
          <w:highlight w:val="none"/>
        </w:rPr>
        <w:sectPr>
          <w:pgSz w:w="11906" w:h="16839"/>
          <w:pgMar w:top="1431" w:right="1731" w:bottom="1157" w:left="1785" w:header="0" w:footer="992" w:gutter="0"/>
          <w:pgNumType w:fmt="decimal"/>
          <w:cols w:space="720" w:num="1"/>
        </w:sectPr>
      </w:pPr>
    </w:p>
    <w:p w14:paraId="14686E1D">
      <w:pPr>
        <w:bidi w:val="0"/>
        <w:spacing w:line="360" w:lineRule="auto"/>
        <w:jc w:val="center"/>
        <w:outlineLvl w:val="1"/>
        <w:rPr>
          <w:rFonts w:hint="eastAsia" w:ascii="仿宋" w:hAnsi="仿宋" w:eastAsia="仿宋" w:cs="仿宋"/>
          <w:b/>
          <w:bCs/>
          <w:sz w:val="28"/>
          <w:szCs w:val="28"/>
          <w:highlight w:val="none"/>
          <w:lang w:val="en-US" w:eastAsia="zh-CN"/>
        </w:rPr>
      </w:pPr>
      <w:bookmarkStart w:id="96" w:name="_Toc22738"/>
      <w:bookmarkEnd w:id="96"/>
      <w:bookmarkStart w:id="97" w:name="_Toc7708"/>
      <w:r>
        <w:rPr>
          <w:rFonts w:hint="eastAsia" w:ascii="仿宋" w:hAnsi="仿宋" w:eastAsia="仿宋" w:cs="仿宋"/>
          <w:b/>
          <w:bCs/>
          <w:sz w:val="28"/>
          <w:szCs w:val="28"/>
          <w:highlight w:val="none"/>
          <w:lang w:val="en-US" w:eastAsia="zh-CN"/>
        </w:rPr>
        <w:t>九、</w:t>
      </w:r>
      <w:bookmarkEnd w:id="97"/>
      <w:bookmarkStart w:id="98" w:name="_Toc24365"/>
      <w:bookmarkEnd w:id="98"/>
      <w:r>
        <w:rPr>
          <w:rFonts w:hint="eastAsia" w:ascii="仿宋" w:hAnsi="仿宋" w:eastAsia="仿宋" w:cs="仿宋"/>
          <w:b/>
          <w:bCs/>
          <w:sz w:val="28"/>
          <w:szCs w:val="28"/>
          <w:highlight w:val="none"/>
          <w:lang w:val="en-US" w:eastAsia="zh-CN"/>
        </w:rPr>
        <w:t>其他材料</w:t>
      </w:r>
    </w:p>
    <w:p w14:paraId="0BB921FA">
      <w:pPr>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5D7355B1">
      <w:pPr>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0FAFAED7">
      <w:pPr>
        <w:spacing w:line="360" w:lineRule="auto"/>
        <w:outlineLvl w:val="9"/>
        <w:rPr>
          <w:rFonts w:hint="eastAsia" w:ascii="仿宋" w:hAnsi="仿宋" w:eastAsia="仿宋" w:cs="仿宋"/>
          <w:sz w:val="24"/>
          <w:szCs w:val="24"/>
          <w:highlight w:val="none"/>
        </w:rPr>
      </w:pPr>
      <w:bookmarkStart w:id="99" w:name="_Toc10853"/>
      <w:bookmarkEnd w:id="99"/>
      <w:bookmarkStart w:id="100" w:name="_Toc23225"/>
      <w:r>
        <w:rPr>
          <w:rFonts w:hint="eastAsia" w:ascii="仿宋" w:hAnsi="仿宋" w:eastAsia="仿宋" w:cs="仿宋"/>
          <w:sz w:val="24"/>
          <w:szCs w:val="24"/>
          <w:highlight w:val="none"/>
        </w:rPr>
        <w:t>1、</w:t>
      </w:r>
      <w:bookmarkEnd w:id="100"/>
      <w:r>
        <w:rPr>
          <w:rFonts w:hint="eastAsia" w:ascii="仿宋" w:hAnsi="仿宋" w:eastAsia="仿宋" w:cs="仿宋"/>
          <w:color w:val="auto"/>
          <w:sz w:val="24"/>
          <w:szCs w:val="24"/>
          <w:highlight w:val="none"/>
        </w:rPr>
        <w:t>评标办法要求的相关资料</w:t>
      </w:r>
      <w:r>
        <w:rPr>
          <w:rFonts w:hint="eastAsia" w:ascii="仿宋" w:hAnsi="仿宋" w:eastAsia="仿宋" w:cs="仿宋"/>
          <w:sz w:val="24"/>
          <w:szCs w:val="24"/>
          <w:highlight w:val="none"/>
        </w:rPr>
        <w:t>。</w:t>
      </w:r>
    </w:p>
    <w:p w14:paraId="5E6AF444">
      <w:pPr>
        <w:widowControl w:val="0"/>
        <w:autoSpaceDN/>
        <w:spacing w:line="360" w:lineRule="auto"/>
        <w:jc w:val="both"/>
        <w:rPr>
          <w:rFonts w:hint="eastAsia" w:ascii="仿宋" w:hAnsi="仿宋" w:eastAsia="仿宋" w:cs="仿宋"/>
          <w:kern w:val="2"/>
          <w:sz w:val="24"/>
          <w:szCs w:val="24"/>
          <w:highlight w:val="none"/>
          <w:lang w:val="en-US" w:eastAsia="zh-CN"/>
        </w:rPr>
      </w:pPr>
      <w:r>
        <w:rPr>
          <w:rFonts w:hint="eastAsia" w:ascii="仿宋" w:hAnsi="仿宋" w:eastAsia="仿宋" w:cs="仿宋"/>
          <w:kern w:val="2"/>
          <w:sz w:val="24"/>
          <w:szCs w:val="24"/>
          <w:highlight w:val="none"/>
          <w:lang w:val="en-US" w:eastAsia="zh-CN"/>
        </w:rPr>
        <w:t>2、供应商认为可提供的其他资料</w:t>
      </w:r>
    </w:p>
    <w:p w14:paraId="0A1DB873">
      <w:pPr>
        <w:widowControl w:val="0"/>
        <w:autoSpaceDN/>
        <w:spacing w:line="360" w:lineRule="auto"/>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lang w:val="en-US" w:eastAsia="zh-CN"/>
        </w:rPr>
        <w:t>3</w:t>
      </w:r>
      <w:r>
        <w:rPr>
          <w:rFonts w:hint="eastAsia" w:ascii="仿宋" w:hAnsi="仿宋" w:eastAsia="仿宋" w:cs="仿宋"/>
          <w:kern w:val="2"/>
          <w:sz w:val="24"/>
          <w:szCs w:val="24"/>
          <w:highlight w:val="none"/>
        </w:rPr>
        <w:t>、硬件特征码承诺书</w:t>
      </w:r>
    </w:p>
    <w:p w14:paraId="5CBE8F1C">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46AB1ABE">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（采购人名称）</w:t>
      </w:r>
    </w:p>
    <w:p w14:paraId="201EEBD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我方在此承诺：</w:t>
      </w:r>
    </w:p>
    <w:p w14:paraId="4CCAABB7">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我公司独立制作、修改和上传投标文件，并承担因“硬件特征码一致”所造成的不良后果。</w:t>
      </w:r>
    </w:p>
    <w:p w14:paraId="3B5EAA00">
      <w:pPr>
        <w:spacing w:line="360" w:lineRule="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 xml:space="preserve"> </w:t>
      </w:r>
    </w:p>
    <w:p w14:paraId="6D5E45F8">
      <w:pPr>
        <w:spacing w:line="360" w:lineRule="auto"/>
        <w:ind w:firstLine="480" w:firstLineChars="200"/>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特此承诺！</w:t>
      </w:r>
    </w:p>
    <w:p w14:paraId="08F6D32E">
      <w:pPr>
        <w:spacing w:line="360" w:lineRule="auto"/>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 xml:space="preserve"> </w:t>
      </w:r>
    </w:p>
    <w:p w14:paraId="24474AC1">
      <w:pPr>
        <w:spacing w:line="360" w:lineRule="auto"/>
        <w:jc w:val="right"/>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 xml:space="preserve"> </w:t>
      </w:r>
    </w:p>
    <w:p w14:paraId="1EFAA043">
      <w:pPr>
        <w:widowControl w:val="0"/>
        <w:autoSpaceDN/>
        <w:spacing w:line="360" w:lineRule="auto"/>
        <w:jc w:val="right"/>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供应商名称：</w:t>
      </w:r>
      <w:r>
        <w:rPr>
          <w:rFonts w:hint="eastAsia" w:ascii="仿宋" w:hAnsi="仿宋" w:eastAsia="仿宋" w:cs="仿宋"/>
          <w:kern w:val="2"/>
          <w:sz w:val="24"/>
          <w:szCs w:val="24"/>
          <w:highlight w:val="none"/>
          <w:u w:val="single"/>
        </w:rPr>
        <w:t xml:space="preserve">              </w:t>
      </w:r>
      <w:r>
        <w:rPr>
          <w:rFonts w:hint="eastAsia" w:ascii="仿宋" w:hAnsi="仿宋" w:eastAsia="仿宋" w:cs="仿宋"/>
          <w:kern w:val="2"/>
          <w:sz w:val="24"/>
          <w:szCs w:val="24"/>
          <w:highlight w:val="none"/>
        </w:rPr>
        <w:t>（企业电子签章）</w:t>
      </w:r>
    </w:p>
    <w:p w14:paraId="49D60B9A">
      <w:pPr>
        <w:widowControl w:val="0"/>
        <w:autoSpaceDN/>
        <w:spacing w:line="360" w:lineRule="auto"/>
        <w:jc w:val="right"/>
        <w:rPr>
          <w:rFonts w:hint="eastAsia" w:ascii="仿宋" w:hAnsi="仿宋" w:eastAsia="仿宋" w:cs="仿宋"/>
          <w:kern w:val="2"/>
          <w:sz w:val="24"/>
          <w:szCs w:val="24"/>
          <w:highlight w:val="none"/>
        </w:rPr>
      </w:pPr>
      <w:r>
        <w:rPr>
          <w:rFonts w:hint="eastAsia" w:ascii="仿宋" w:hAnsi="仿宋" w:eastAsia="仿宋" w:cs="仿宋"/>
          <w:sz w:val="24"/>
          <w:szCs w:val="24"/>
          <w:highlight w:val="none"/>
        </w:rPr>
        <w:t xml:space="preserve"> 法定代表人或委托代理人</w:t>
      </w:r>
      <w:r>
        <w:rPr>
          <w:rFonts w:hint="eastAsia" w:ascii="仿宋" w:hAnsi="仿宋" w:eastAsia="仿宋" w:cs="仿宋"/>
          <w:kern w:val="2"/>
          <w:sz w:val="24"/>
          <w:szCs w:val="24"/>
          <w:highlight w:val="none"/>
        </w:rPr>
        <w:t>：</w:t>
      </w:r>
      <w:r>
        <w:rPr>
          <w:rFonts w:hint="eastAsia" w:ascii="仿宋" w:hAnsi="仿宋" w:eastAsia="仿宋" w:cs="仿宋"/>
          <w:kern w:val="2"/>
          <w:sz w:val="24"/>
          <w:szCs w:val="24"/>
          <w:highlight w:val="none"/>
          <w:u w:val="single"/>
        </w:rPr>
        <w:t xml:space="preserve">              </w:t>
      </w:r>
      <w:r>
        <w:rPr>
          <w:rFonts w:hint="eastAsia" w:ascii="仿宋" w:hAnsi="仿宋" w:eastAsia="仿宋" w:cs="仿宋"/>
          <w:kern w:val="2"/>
          <w:sz w:val="24"/>
          <w:szCs w:val="24"/>
          <w:highlight w:val="none"/>
        </w:rPr>
        <w:t>（</w:t>
      </w:r>
      <w:r>
        <w:rPr>
          <w:rFonts w:hint="eastAsia" w:ascii="仿宋" w:hAnsi="仿宋" w:eastAsia="仿宋" w:cs="仿宋"/>
          <w:color w:val="auto"/>
          <w:sz w:val="24"/>
          <w:szCs w:val="24"/>
          <w:highlight w:val="none"/>
        </w:rPr>
        <w:t>个人电子签名或签章</w:t>
      </w:r>
      <w:r>
        <w:rPr>
          <w:rFonts w:hint="eastAsia" w:ascii="仿宋" w:hAnsi="仿宋" w:eastAsia="仿宋" w:cs="仿宋"/>
          <w:kern w:val="2"/>
          <w:sz w:val="24"/>
          <w:szCs w:val="24"/>
          <w:highlight w:val="none"/>
        </w:rPr>
        <w:t>）</w:t>
      </w:r>
    </w:p>
    <w:p w14:paraId="0A1F7E41">
      <w:pPr>
        <w:pStyle w:val="11"/>
        <w:spacing w:line="360" w:lineRule="auto"/>
        <w:ind w:firstLine="6000" w:firstLineChars="2500"/>
        <w:rPr>
          <w:rFonts w:hint="eastAsia" w:ascii="仿宋" w:hAnsi="仿宋" w:eastAsia="仿宋" w:cs="仿宋"/>
          <w:kern w:val="2"/>
          <w:sz w:val="24"/>
          <w:szCs w:val="24"/>
          <w:highlight w:val="none"/>
        </w:rPr>
        <w:sectPr>
          <w:pgSz w:w="11910" w:h="16840"/>
          <w:pgMar w:top="1500" w:right="1380" w:bottom="1780" w:left="1580" w:header="1" w:footer="1595" w:gutter="0"/>
          <w:pgNumType w:fmt="decimal"/>
          <w:cols w:space="720" w:num="1"/>
          <w:docGrid w:type="lines" w:linePitch="312" w:charSpace="0"/>
        </w:sectPr>
      </w:pPr>
      <w:r>
        <w:rPr>
          <w:rFonts w:hint="eastAsia" w:ascii="仿宋" w:hAnsi="仿宋" w:eastAsia="仿宋" w:cs="仿宋"/>
          <w:kern w:val="2"/>
          <w:sz w:val="24"/>
          <w:szCs w:val="24"/>
          <w:highlight w:val="none"/>
        </w:rPr>
        <w:t>日期：</w:t>
      </w:r>
      <w:r>
        <w:rPr>
          <w:rFonts w:hint="eastAsia" w:ascii="仿宋" w:hAnsi="仿宋" w:eastAsia="仿宋" w:cs="仿宋"/>
          <w:kern w:val="2"/>
          <w:sz w:val="24"/>
          <w:szCs w:val="24"/>
          <w:highlight w:val="none"/>
          <w:u w:val="single"/>
        </w:rPr>
        <w:t xml:space="preserve">     </w:t>
      </w:r>
      <w:r>
        <w:rPr>
          <w:rFonts w:hint="eastAsia" w:ascii="仿宋" w:hAnsi="仿宋" w:eastAsia="仿宋" w:cs="仿宋"/>
          <w:kern w:val="2"/>
          <w:sz w:val="24"/>
          <w:szCs w:val="24"/>
          <w:highlight w:val="none"/>
        </w:rPr>
        <w:t>年</w:t>
      </w:r>
      <w:r>
        <w:rPr>
          <w:rFonts w:hint="eastAsia" w:ascii="仿宋" w:hAnsi="仿宋" w:eastAsia="仿宋" w:cs="仿宋"/>
          <w:kern w:val="2"/>
          <w:sz w:val="24"/>
          <w:szCs w:val="24"/>
          <w:highlight w:val="none"/>
          <w:u w:val="single"/>
        </w:rPr>
        <w:t xml:space="preserve">    </w:t>
      </w:r>
      <w:r>
        <w:rPr>
          <w:rFonts w:hint="eastAsia" w:ascii="仿宋" w:hAnsi="仿宋" w:eastAsia="仿宋" w:cs="仿宋"/>
          <w:kern w:val="2"/>
          <w:sz w:val="24"/>
          <w:szCs w:val="24"/>
          <w:highlight w:val="none"/>
        </w:rPr>
        <w:t>月</w:t>
      </w:r>
      <w:r>
        <w:rPr>
          <w:rFonts w:hint="eastAsia" w:ascii="仿宋" w:hAnsi="仿宋" w:eastAsia="仿宋" w:cs="仿宋"/>
          <w:kern w:val="2"/>
          <w:sz w:val="24"/>
          <w:szCs w:val="24"/>
          <w:highlight w:val="none"/>
          <w:u w:val="single"/>
        </w:rPr>
        <w:t xml:space="preserve">    </w:t>
      </w:r>
      <w:r>
        <w:rPr>
          <w:rFonts w:hint="eastAsia" w:ascii="仿宋" w:hAnsi="仿宋" w:eastAsia="仿宋" w:cs="仿宋"/>
          <w:kern w:val="2"/>
          <w:sz w:val="24"/>
          <w:szCs w:val="24"/>
          <w:highlight w:val="none"/>
        </w:rPr>
        <w:t>日</w:t>
      </w:r>
    </w:p>
    <w:p w14:paraId="2E692D40">
      <w:pPr>
        <w:pStyle w:val="5"/>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4、承诺书</w:t>
      </w:r>
    </w:p>
    <w:p w14:paraId="40201439">
      <w:pPr>
        <w:bidi w:val="0"/>
        <w:rPr>
          <w:rFonts w:hint="eastAsia" w:ascii="仿宋" w:hAnsi="仿宋" w:eastAsia="仿宋" w:cs="仿宋"/>
          <w:sz w:val="24"/>
          <w:szCs w:val="24"/>
          <w:highlight w:val="none"/>
          <w:lang w:val="en-US" w:eastAsia="zh-CN"/>
        </w:rPr>
      </w:pPr>
    </w:p>
    <w:p w14:paraId="0CA39BBF">
      <w:pPr>
        <w:bidi w:val="0"/>
        <w:rPr>
          <w:rFonts w:hint="eastAsia" w:ascii="仿宋" w:hAnsi="仿宋" w:eastAsia="仿宋" w:cs="仿宋"/>
          <w:sz w:val="24"/>
          <w:szCs w:val="24"/>
          <w:highlight w:val="none"/>
          <w:lang w:val="en-US" w:eastAsia="zh-CN"/>
        </w:rPr>
      </w:pPr>
    </w:p>
    <w:p w14:paraId="3CB76C8F">
      <w:pPr>
        <w:keepNext w:val="0"/>
        <w:keepLines w:val="0"/>
        <w:pageBreakBefore w:val="0"/>
        <w:widowControl/>
        <w:suppressLineNumbers w:val="0"/>
        <w:kinsoku/>
        <w:wordWrap/>
        <w:overflowPunct/>
        <w:topLinePunct w:val="0"/>
        <w:autoSpaceDE/>
        <w:autoSpaceDN/>
        <w:bidi w:val="0"/>
        <w:adjustRightInd w:val="0"/>
        <w:snapToGrid w:val="0"/>
        <w:spacing w:line="50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致:</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 xml:space="preserve">采购人名称） </w:t>
      </w:r>
    </w:p>
    <w:p w14:paraId="0CD15321">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 xml:space="preserve">我公司郑重承诺，如我公司中标我公司保证执行扶贫政府采购政策，保证完成采购人承诺的预留扶贫采购份额（包括但不限于“扶贫 832”平台）。保证遵守并执行其他政府采购政策。如该承诺书不实，我公司将无条件承担不利结果（包括但不限于采购人无责任单方面解除合同等）。 </w:t>
      </w:r>
    </w:p>
    <w:p w14:paraId="619E6E6D">
      <w:pPr>
        <w:pStyle w:val="5"/>
        <w:rPr>
          <w:rFonts w:hint="eastAsia" w:ascii="仿宋" w:hAnsi="仿宋" w:eastAsia="仿宋" w:cs="仿宋"/>
          <w:color w:val="auto"/>
          <w:sz w:val="24"/>
          <w:szCs w:val="24"/>
          <w:highlight w:val="none"/>
        </w:rPr>
      </w:pPr>
    </w:p>
    <w:p w14:paraId="03990274">
      <w:pPr>
        <w:keepNext w:val="0"/>
        <w:keepLines w:val="0"/>
        <w:pageBreakBefore w:val="0"/>
        <w:widowControl/>
        <w:suppressLineNumbers w:val="0"/>
        <w:kinsoku/>
        <w:wordWrap/>
        <w:overflowPunct/>
        <w:topLinePunct w:val="0"/>
        <w:autoSpaceDE/>
        <w:autoSpaceDN/>
        <w:bidi w:val="0"/>
        <w:adjustRightInd w:val="0"/>
        <w:snapToGrid w:val="0"/>
        <w:spacing w:line="360" w:lineRule="auto"/>
        <w:jc w:val="righ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供应商名称：</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（企业电子签章）</w:t>
      </w:r>
    </w:p>
    <w:p w14:paraId="6B212C22">
      <w:pPr>
        <w:keepNext w:val="0"/>
        <w:keepLines w:val="0"/>
        <w:pageBreakBefore w:val="0"/>
        <w:widowControl/>
        <w:suppressLineNumbers w:val="0"/>
        <w:kinsoku/>
        <w:wordWrap/>
        <w:overflowPunct/>
        <w:topLinePunct w:val="0"/>
        <w:autoSpaceDE/>
        <w:autoSpaceDN/>
        <w:bidi w:val="0"/>
        <w:adjustRightInd w:val="0"/>
        <w:snapToGrid w:val="0"/>
        <w:spacing w:line="360" w:lineRule="auto"/>
        <w:jc w:val="righ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u w:val="none"/>
          <w:lang w:val="en-US" w:eastAsia="zh-CN" w:bidi="ar"/>
        </w:rPr>
        <w:t>法定代表人或委托代理人：</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（个人电子签章）</w:t>
      </w:r>
    </w:p>
    <w:p w14:paraId="1116C34F">
      <w:pPr>
        <w:bidi w:val="0"/>
        <w:spacing w:line="360" w:lineRule="auto"/>
        <w:ind w:firstLine="4800" w:firstLineChars="2000"/>
        <w:jc w:val="left"/>
        <w:rPr>
          <w:rFonts w:hint="eastAsia" w:ascii="宋体" w:hAnsi="宋体" w:eastAsia="宋体" w:cs="宋体"/>
          <w:sz w:val="24"/>
          <w:szCs w:val="24"/>
          <w:highlight w:val="none"/>
          <w:lang w:val="en-US" w:eastAsia="zh-CN"/>
        </w:rPr>
        <w:sectPr>
          <w:pgSz w:w="11910" w:h="16840"/>
          <w:pgMar w:top="1500" w:right="1380" w:bottom="1780" w:left="1580" w:header="1" w:footer="1595" w:gutter="0"/>
          <w:pgNumType w:fmt="decimal"/>
          <w:cols w:space="720" w:num="1"/>
          <w:docGrid w:type="lines" w:linePitch="312" w:charSpace="0"/>
        </w:sectPr>
      </w:pPr>
      <w:r>
        <w:rPr>
          <w:rFonts w:hint="eastAsia" w:ascii="仿宋" w:hAnsi="仿宋" w:eastAsia="仿宋" w:cs="仿宋"/>
          <w:color w:val="auto"/>
          <w:kern w:val="0"/>
          <w:sz w:val="24"/>
          <w:szCs w:val="24"/>
          <w:highlight w:val="none"/>
          <w:lang w:val="en-US" w:eastAsia="zh-CN" w:bidi="ar"/>
        </w:rPr>
        <w:t>日期： ____年____月_____日</w:t>
      </w:r>
    </w:p>
    <w:p w14:paraId="4C2CF074">
      <w:pPr>
        <w:spacing w:line="360" w:lineRule="auto"/>
        <w:ind w:firstLine="643"/>
        <w:outlineLvl w:val="0"/>
        <w:rPr>
          <w:rFonts w:hint="eastAsia" w:ascii="仿宋" w:hAnsi="仿宋" w:eastAsia="仿宋" w:cs="仿宋"/>
          <w:b/>
          <w:kern w:val="44"/>
          <w:sz w:val="24"/>
          <w:szCs w:val="24"/>
          <w:highlight w:val="none"/>
        </w:rPr>
      </w:pPr>
      <w:bookmarkStart w:id="101" w:name="_Toc15115"/>
      <w:bookmarkEnd w:id="101"/>
      <w:r>
        <w:rPr>
          <w:rFonts w:hint="eastAsia" w:ascii="仿宋" w:hAnsi="仿宋" w:eastAsia="仿宋" w:cs="仿宋"/>
          <w:b/>
          <w:kern w:val="44"/>
          <w:sz w:val="24"/>
          <w:szCs w:val="24"/>
          <w:highlight w:val="none"/>
        </w:rPr>
        <w:t>附件1（符合政策要求，并申请按小型微型企业投标者提供）：</w:t>
      </w:r>
    </w:p>
    <w:p w14:paraId="4106E14B">
      <w:pPr>
        <w:spacing w:before="100" w:beforeAutospacing="1" w:after="100" w:afterAutospacing="1" w:line="360" w:lineRule="auto"/>
        <w:jc w:val="center"/>
        <w:rPr>
          <w:rFonts w:hint="eastAsia" w:ascii="仿宋" w:hAnsi="仿宋" w:eastAsia="仿宋" w:cs="仿宋"/>
          <w:b/>
          <w:sz w:val="24"/>
          <w:szCs w:val="24"/>
          <w:highlight w:val="none"/>
        </w:rPr>
      </w:pPr>
      <w:bookmarkStart w:id="102" w:name="_Toc657"/>
      <w:bookmarkEnd w:id="102"/>
      <w:bookmarkStart w:id="103" w:name="_Toc10709_WPSOffice_Level1"/>
      <w:r>
        <w:rPr>
          <w:rFonts w:hint="eastAsia" w:ascii="仿宋" w:hAnsi="仿宋" w:eastAsia="仿宋" w:cs="仿宋"/>
          <w:b/>
          <w:sz w:val="24"/>
          <w:szCs w:val="24"/>
          <w:highlight w:val="none"/>
        </w:rPr>
        <w:t>中小企业声明函（工程、服务）</w:t>
      </w:r>
      <w:bookmarkEnd w:id="103"/>
    </w:p>
    <w:p w14:paraId="77EA3B75">
      <w:pPr>
        <w:spacing w:before="156" w:beforeLines="50" w:after="156" w:afterLines="50"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本公司（联合体）郑重声明，根据《政府采购促进中小企业发展管理办法》（财库﹝2020﹞46 号）的规定，本公司（联合体）参加</w:t>
      </w:r>
      <w:r>
        <w:rPr>
          <w:rFonts w:hint="eastAsia" w:ascii="仿宋" w:hAnsi="仿宋" w:eastAsia="仿宋" w:cs="仿宋"/>
          <w:sz w:val="24"/>
          <w:szCs w:val="24"/>
          <w:highlight w:val="none"/>
          <w:u w:val="single"/>
        </w:rPr>
        <w:t>（单位名称）</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（项目名称）</w:t>
      </w:r>
      <w:r>
        <w:rPr>
          <w:rFonts w:hint="eastAsia" w:ascii="仿宋" w:hAnsi="仿宋" w:eastAsia="仿宋" w:cs="仿宋"/>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9E3DC15">
      <w:pPr>
        <w:spacing w:before="156" w:beforeLines="50" w:after="156" w:afterLines="50"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u w:val="single"/>
        </w:rPr>
        <w:t>（标的名称）</w:t>
      </w:r>
      <w:r>
        <w:rPr>
          <w:rFonts w:hint="eastAsia" w:ascii="仿宋" w:hAnsi="仿宋" w:eastAsia="仿宋" w:cs="仿宋"/>
          <w:sz w:val="24"/>
          <w:szCs w:val="24"/>
          <w:highlight w:val="none"/>
        </w:rPr>
        <w:t>，属于</w:t>
      </w:r>
      <w:r>
        <w:rPr>
          <w:rFonts w:hint="eastAsia" w:ascii="仿宋" w:hAnsi="仿宋" w:eastAsia="仿宋" w:cs="仿宋"/>
          <w:sz w:val="24"/>
          <w:szCs w:val="24"/>
          <w:highlight w:val="none"/>
          <w:u w:val="single"/>
        </w:rPr>
        <w:t>（采购文件中明确的所属行业）</w:t>
      </w:r>
      <w:r>
        <w:rPr>
          <w:rFonts w:hint="eastAsia" w:ascii="仿宋" w:hAnsi="仿宋" w:eastAsia="仿宋" w:cs="仿宋"/>
          <w:sz w:val="24"/>
          <w:szCs w:val="24"/>
          <w:highlight w:val="none"/>
        </w:rPr>
        <w:t>；承建（承接）企业为</w:t>
      </w:r>
      <w:r>
        <w:rPr>
          <w:rFonts w:hint="eastAsia" w:ascii="仿宋" w:hAnsi="仿宋" w:eastAsia="仿宋" w:cs="仿宋"/>
          <w:sz w:val="24"/>
          <w:szCs w:val="24"/>
          <w:highlight w:val="none"/>
          <w:u w:val="single"/>
        </w:rPr>
        <w:t>（企业名称）</w:t>
      </w:r>
      <w:r>
        <w:rPr>
          <w:rFonts w:hint="eastAsia" w:ascii="仿宋" w:hAnsi="仿宋" w:eastAsia="仿宋" w:cs="仿宋"/>
          <w:sz w:val="24"/>
          <w:szCs w:val="24"/>
          <w:highlight w:val="none"/>
        </w:rPr>
        <w:t>，从业人员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万元，属于</w:t>
      </w:r>
      <w:r>
        <w:rPr>
          <w:rFonts w:hint="eastAsia" w:ascii="仿宋" w:hAnsi="仿宋" w:eastAsia="仿宋" w:cs="仿宋"/>
          <w:sz w:val="24"/>
          <w:szCs w:val="24"/>
          <w:highlight w:val="none"/>
          <w:u w:val="single"/>
        </w:rPr>
        <w:t>（中型企业、小型企业、微型企业）</w:t>
      </w:r>
      <w:r>
        <w:rPr>
          <w:rFonts w:hint="eastAsia" w:ascii="仿宋" w:hAnsi="仿宋" w:eastAsia="仿宋" w:cs="仿宋"/>
          <w:sz w:val="24"/>
          <w:szCs w:val="24"/>
          <w:highlight w:val="none"/>
        </w:rPr>
        <w:t xml:space="preserve">； </w:t>
      </w:r>
    </w:p>
    <w:p w14:paraId="4CD820BC">
      <w:pPr>
        <w:spacing w:before="156" w:beforeLines="50" w:after="156" w:afterLines="50"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u w:val="single"/>
        </w:rPr>
        <w:t>（标的名称）</w:t>
      </w:r>
      <w:r>
        <w:rPr>
          <w:rFonts w:hint="eastAsia" w:ascii="仿宋" w:hAnsi="仿宋" w:eastAsia="仿宋" w:cs="仿宋"/>
          <w:sz w:val="24"/>
          <w:szCs w:val="24"/>
          <w:highlight w:val="none"/>
        </w:rPr>
        <w:t>，属于</w:t>
      </w:r>
      <w:r>
        <w:rPr>
          <w:rFonts w:hint="eastAsia" w:ascii="仿宋" w:hAnsi="仿宋" w:eastAsia="仿宋" w:cs="仿宋"/>
          <w:sz w:val="24"/>
          <w:szCs w:val="24"/>
          <w:highlight w:val="none"/>
          <w:u w:val="single"/>
        </w:rPr>
        <w:t>（采购文件中明确的所属行业）</w:t>
      </w:r>
      <w:r>
        <w:rPr>
          <w:rFonts w:hint="eastAsia" w:ascii="仿宋" w:hAnsi="仿宋" w:eastAsia="仿宋" w:cs="仿宋"/>
          <w:sz w:val="24"/>
          <w:szCs w:val="24"/>
          <w:highlight w:val="none"/>
        </w:rPr>
        <w:t>；承建（承接）企业为</w:t>
      </w:r>
      <w:r>
        <w:rPr>
          <w:rFonts w:hint="eastAsia" w:ascii="仿宋" w:hAnsi="仿宋" w:eastAsia="仿宋" w:cs="仿宋"/>
          <w:sz w:val="24"/>
          <w:szCs w:val="24"/>
          <w:highlight w:val="none"/>
          <w:u w:val="single"/>
        </w:rPr>
        <w:t>（企业名称）</w:t>
      </w:r>
      <w:r>
        <w:rPr>
          <w:rFonts w:hint="eastAsia" w:ascii="仿宋" w:hAnsi="仿宋" w:eastAsia="仿宋" w:cs="仿宋"/>
          <w:sz w:val="24"/>
          <w:szCs w:val="24"/>
          <w:highlight w:val="none"/>
        </w:rPr>
        <w:t>，从业人员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万元，属于</w:t>
      </w:r>
      <w:r>
        <w:rPr>
          <w:rFonts w:hint="eastAsia" w:ascii="仿宋" w:hAnsi="仿宋" w:eastAsia="仿宋" w:cs="仿宋"/>
          <w:sz w:val="24"/>
          <w:szCs w:val="24"/>
          <w:highlight w:val="none"/>
          <w:u w:val="single"/>
        </w:rPr>
        <w:t>（中型企业、小型企业、微型企业）</w:t>
      </w:r>
      <w:r>
        <w:rPr>
          <w:rFonts w:hint="eastAsia" w:ascii="仿宋" w:hAnsi="仿宋" w:eastAsia="仿宋" w:cs="仿宋"/>
          <w:sz w:val="24"/>
          <w:szCs w:val="24"/>
          <w:highlight w:val="none"/>
        </w:rPr>
        <w:t>；</w:t>
      </w:r>
    </w:p>
    <w:p w14:paraId="63EC5531">
      <w:pPr>
        <w:spacing w:before="156" w:beforeLines="50" w:after="156" w:afterLines="50"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w:t>
      </w:r>
    </w:p>
    <w:p w14:paraId="6271121C">
      <w:pPr>
        <w:spacing w:before="156" w:beforeLines="50" w:after="156" w:afterLines="50"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以上企业，不属于大企业的分支机构，不存在控股股东为大企业的情形，也不存在与大企业的负责人为同一人的情形。</w:t>
      </w:r>
    </w:p>
    <w:p w14:paraId="50BBC37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本企业对上述声明内容的真实性负责。如有虚假，将依法承担相应责任。</w:t>
      </w:r>
    </w:p>
    <w:p w14:paraId="4C8EC4A7">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45C6CC0B">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142E18EE">
      <w:pPr>
        <w:spacing w:line="360" w:lineRule="auto"/>
        <w:ind w:firstLine="480" w:firstLineChars="200"/>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企业名称（企业电子签章）：         </w:t>
      </w:r>
    </w:p>
    <w:p w14:paraId="22A3399C">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3791ECD6">
      <w:pPr>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09796DA3">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注：1、从业人员、营业收入、资产总额填报上一年度数据，无上一年度数据的新成立企业可不填报。</w:t>
      </w:r>
    </w:p>
    <w:p w14:paraId="45B5C2B0">
      <w:pPr>
        <w:spacing w:line="360" w:lineRule="auto"/>
        <w:ind w:firstLine="482"/>
        <w:rPr>
          <w:rFonts w:hint="eastAsia" w:ascii="仿宋" w:hAnsi="仿宋" w:eastAsia="仿宋" w:cs="仿宋"/>
          <w:b/>
          <w:sz w:val="24"/>
          <w:szCs w:val="24"/>
          <w:highlight w:val="none"/>
        </w:rPr>
      </w:pPr>
      <w:r>
        <w:rPr>
          <w:rFonts w:hint="eastAsia" w:ascii="仿宋" w:hAnsi="仿宋" w:eastAsia="仿宋" w:cs="仿宋"/>
          <w:b/>
          <w:sz w:val="24"/>
          <w:szCs w:val="24"/>
          <w:highlight w:val="none"/>
        </w:rPr>
        <w:t>2、中标人的本声明函随中标结果同时公布，接受其他供应商和社会监督。</w:t>
      </w:r>
    </w:p>
    <w:p w14:paraId="75C7BA1C">
      <w:pPr>
        <w:kinsoku/>
        <w:autoSpaceDE/>
        <w:autoSpaceDN/>
        <w:adjustRightInd/>
        <w:snapToGrid/>
        <w:spacing w:line="360" w:lineRule="auto"/>
        <w:textAlignment w:val="auto"/>
        <w:rPr>
          <w:rFonts w:hint="eastAsia" w:ascii="仿宋" w:hAnsi="仿宋" w:eastAsia="仿宋" w:cs="仿宋"/>
          <w:b/>
          <w:color w:val="auto"/>
          <w:sz w:val="24"/>
          <w:szCs w:val="24"/>
          <w:highlight w:val="none"/>
        </w:rPr>
        <w:sectPr>
          <w:pgSz w:w="11910" w:h="16840"/>
          <w:pgMar w:top="1500" w:right="1380" w:bottom="1780" w:left="1580" w:header="1" w:footer="1595" w:gutter="0"/>
          <w:pgNumType w:fmt="decimal"/>
          <w:cols w:space="720" w:num="1"/>
          <w:docGrid w:type="lines" w:linePitch="312" w:charSpace="0"/>
        </w:sectPr>
      </w:pPr>
    </w:p>
    <w:p w14:paraId="2FD565DD">
      <w:pPr>
        <w:spacing w:line="360" w:lineRule="auto"/>
        <w:ind w:firstLine="482"/>
        <w:outlineLvl w:val="0"/>
        <w:rPr>
          <w:rFonts w:hint="eastAsia" w:ascii="仿宋" w:hAnsi="仿宋" w:eastAsia="仿宋" w:cs="仿宋"/>
          <w:b/>
          <w:kern w:val="44"/>
          <w:sz w:val="24"/>
          <w:szCs w:val="24"/>
          <w:highlight w:val="none"/>
        </w:rPr>
      </w:pPr>
      <w:bookmarkStart w:id="104" w:name="_Toc9890"/>
      <w:bookmarkEnd w:id="104"/>
      <w:r>
        <w:rPr>
          <w:rFonts w:hint="eastAsia" w:ascii="仿宋" w:hAnsi="仿宋" w:eastAsia="仿宋" w:cs="仿宋"/>
          <w:b/>
          <w:kern w:val="44"/>
          <w:sz w:val="24"/>
          <w:szCs w:val="24"/>
          <w:highlight w:val="none"/>
        </w:rPr>
        <w:t>附件2：（符合政策要求，并申请按残疾人福利性单位投标者提供）：</w:t>
      </w:r>
    </w:p>
    <w:p w14:paraId="2580A562">
      <w:pPr>
        <w:spacing w:line="360" w:lineRule="auto"/>
        <w:ind w:firstLine="504"/>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 xml:space="preserve"> </w:t>
      </w:r>
    </w:p>
    <w:p w14:paraId="48F4824F">
      <w:pPr>
        <w:spacing w:line="360" w:lineRule="auto"/>
        <w:ind w:firstLine="506"/>
        <w:jc w:val="center"/>
        <w:outlineLvl w:val="0"/>
        <w:rPr>
          <w:rFonts w:hint="eastAsia" w:ascii="仿宋" w:hAnsi="仿宋" w:eastAsia="仿宋" w:cs="仿宋"/>
          <w:b/>
          <w:spacing w:val="6"/>
          <w:sz w:val="24"/>
          <w:szCs w:val="24"/>
          <w:highlight w:val="none"/>
        </w:rPr>
      </w:pPr>
      <w:bookmarkStart w:id="105" w:name="OLE_LINK14"/>
      <w:bookmarkEnd w:id="105"/>
      <w:bookmarkStart w:id="106" w:name="_Toc16669"/>
      <w:bookmarkEnd w:id="106"/>
      <w:bookmarkStart w:id="107" w:name="OLE_LINK13"/>
      <w:r>
        <w:rPr>
          <w:rFonts w:hint="eastAsia" w:ascii="仿宋" w:hAnsi="仿宋" w:eastAsia="仿宋" w:cs="仿宋"/>
          <w:b/>
          <w:spacing w:val="6"/>
          <w:sz w:val="24"/>
          <w:szCs w:val="24"/>
          <w:highlight w:val="none"/>
        </w:rPr>
        <w:t>残疾人福利性单位声明函</w:t>
      </w:r>
      <w:bookmarkEnd w:id="107"/>
    </w:p>
    <w:p w14:paraId="1D473D5F">
      <w:pPr>
        <w:spacing w:line="360" w:lineRule="auto"/>
        <w:ind w:firstLine="504"/>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本单位郑重声明，根据《财政部 民政部 中国残疾人联合会关于促进残疾人就业政府采购政策的通知》（财库</w:t>
      </w:r>
      <w:r>
        <w:rPr>
          <w:rFonts w:hint="eastAsia" w:ascii="仿宋" w:hAnsi="仿宋" w:eastAsia="仿宋" w:cs="仿宋"/>
          <w:sz w:val="24"/>
          <w:szCs w:val="24"/>
          <w:highlight w:val="none"/>
        </w:rPr>
        <w:t>〔2017〕 141</w:t>
      </w:r>
      <w:r>
        <w:rPr>
          <w:rFonts w:hint="eastAsia" w:ascii="仿宋" w:hAnsi="仿宋" w:eastAsia="仿宋" w:cs="仿宋"/>
          <w:spacing w:val="6"/>
          <w:sz w:val="24"/>
          <w:szCs w:val="24"/>
          <w:highlight w:val="none"/>
        </w:rPr>
        <w:t>号）的规定，本单位为符合条件的残疾人福利性单位，且本单位参加</w:t>
      </w:r>
      <w:r>
        <w:rPr>
          <w:rFonts w:hint="eastAsia" w:ascii="仿宋" w:hAnsi="仿宋" w:eastAsia="仿宋" w:cs="仿宋"/>
          <w:spacing w:val="6"/>
          <w:sz w:val="24"/>
          <w:szCs w:val="24"/>
          <w:highlight w:val="none"/>
          <w:u w:val="single"/>
        </w:rPr>
        <w:t xml:space="preserve">        </w:t>
      </w:r>
      <w:r>
        <w:rPr>
          <w:rFonts w:hint="eastAsia" w:ascii="仿宋" w:hAnsi="仿宋" w:eastAsia="仿宋" w:cs="仿宋"/>
          <w:spacing w:val="6"/>
          <w:sz w:val="24"/>
          <w:szCs w:val="24"/>
          <w:highlight w:val="none"/>
        </w:rPr>
        <w:t>单位的</w:t>
      </w:r>
      <w:r>
        <w:rPr>
          <w:rFonts w:hint="eastAsia" w:ascii="仿宋" w:hAnsi="仿宋" w:eastAsia="仿宋" w:cs="仿宋"/>
          <w:spacing w:val="6"/>
          <w:sz w:val="24"/>
          <w:szCs w:val="24"/>
          <w:highlight w:val="none"/>
          <w:u w:val="single"/>
        </w:rPr>
        <w:t xml:space="preserve">        </w:t>
      </w:r>
      <w:r>
        <w:rPr>
          <w:rFonts w:hint="eastAsia" w:ascii="仿宋" w:hAnsi="仿宋" w:eastAsia="仿宋" w:cs="仿宋"/>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14:paraId="28E8C830">
      <w:pPr>
        <w:spacing w:line="360" w:lineRule="auto"/>
        <w:ind w:firstLine="504"/>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本单位对上述声明的真实性负责。如有虚假，将依法承担相应责任。</w:t>
      </w:r>
    </w:p>
    <w:p w14:paraId="7CD9D4A1">
      <w:pPr>
        <w:spacing w:line="360" w:lineRule="auto"/>
        <w:ind w:right="1560" w:firstLine="2772" w:firstLineChars="1100"/>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 xml:space="preserve"> </w:t>
      </w:r>
    </w:p>
    <w:p w14:paraId="0EFFA663">
      <w:pPr>
        <w:spacing w:line="360" w:lineRule="auto"/>
        <w:ind w:right="1560" w:firstLine="2772" w:firstLineChars="1100"/>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 xml:space="preserve"> </w:t>
      </w:r>
    </w:p>
    <w:p w14:paraId="39B1BA2B">
      <w:pPr>
        <w:spacing w:line="360" w:lineRule="auto"/>
        <w:ind w:right="1560" w:firstLine="2772" w:firstLineChars="1100"/>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单位名称（</w:t>
      </w:r>
      <w:r>
        <w:rPr>
          <w:rFonts w:hint="eastAsia" w:ascii="仿宋" w:hAnsi="仿宋" w:eastAsia="仿宋" w:cs="仿宋"/>
          <w:sz w:val="24"/>
          <w:szCs w:val="24"/>
          <w:highlight w:val="none"/>
        </w:rPr>
        <w:t>企业电子签章</w:t>
      </w:r>
      <w:r>
        <w:rPr>
          <w:rFonts w:hint="eastAsia" w:ascii="仿宋" w:hAnsi="仿宋" w:eastAsia="仿宋" w:cs="仿宋"/>
          <w:spacing w:val="6"/>
          <w:sz w:val="24"/>
          <w:szCs w:val="24"/>
          <w:highlight w:val="none"/>
        </w:rPr>
        <w:t>）：</w:t>
      </w:r>
    </w:p>
    <w:p w14:paraId="56833309">
      <w:pPr>
        <w:spacing w:line="360" w:lineRule="auto"/>
        <w:ind w:right="1560" w:firstLine="3780" w:firstLineChars="1500"/>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日  期：</w:t>
      </w:r>
    </w:p>
    <w:p w14:paraId="714A4D57">
      <w:pPr>
        <w:spacing w:line="360" w:lineRule="auto"/>
        <w:ind w:firstLine="504"/>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 xml:space="preserve"> </w:t>
      </w:r>
    </w:p>
    <w:p w14:paraId="74B11310">
      <w:pPr>
        <w:spacing w:line="360" w:lineRule="auto"/>
        <w:ind w:firstLine="506"/>
        <w:rPr>
          <w:rFonts w:hint="eastAsia" w:ascii="仿宋" w:hAnsi="仿宋" w:eastAsia="仿宋" w:cs="仿宋"/>
          <w:b/>
          <w:bCs/>
          <w:spacing w:val="6"/>
          <w:sz w:val="24"/>
          <w:szCs w:val="24"/>
          <w:highlight w:val="none"/>
        </w:rPr>
      </w:pPr>
      <w:r>
        <w:rPr>
          <w:rFonts w:hint="eastAsia" w:ascii="仿宋" w:hAnsi="仿宋" w:eastAsia="仿宋" w:cs="仿宋"/>
          <w:b/>
          <w:bCs/>
          <w:spacing w:val="6"/>
          <w:sz w:val="24"/>
          <w:szCs w:val="24"/>
          <w:highlight w:val="none"/>
        </w:rPr>
        <w:t xml:space="preserve">注：1、享受政府采购支持政策的残疾人福利性单位应当同时满足以下条件：①残疾证（不少于10人，不低于单位职工人数的25%），②劳务合同（期限一年以上），③社会保险金缴纳票据或清单，④银行代发工资证明。（供应商属残疾人福利性单位，提供其他残疾人福利性单位制造的货物时，需同时提供该制造企业出具的《残疾人福利性单位声明函》）。 </w:t>
      </w:r>
    </w:p>
    <w:p w14:paraId="16626190">
      <w:pPr>
        <w:spacing w:line="360" w:lineRule="auto"/>
        <w:ind w:firstLine="506"/>
        <w:rPr>
          <w:rFonts w:hint="eastAsia" w:ascii="仿宋" w:hAnsi="仿宋" w:eastAsia="仿宋" w:cs="仿宋"/>
          <w:b/>
          <w:bCs/>
          <w:spacing w:val="6"/>
          <w:sz w:val="24"/>
          <w:szCs w:val="24"/>
          <w:highlight w:val="none"/>
        </w:rPr>
      </w:pPr>
      <w:r>
        <w:rPr>
          <w:rFonts w:hint="eastAsia" w:ascii="仿宋" w:hAnsi="仿宋" w:eastAsia="仿宋" w:cs="仿宋"/>
          <w:b/>
          <w:bCs/>
          <w:spacing w:val="6"/>
          <w:sz w:val="24"/>
          <w:szCs w:val="24"/>
          <w:highlight w:val="none"/>
        </w:rPr>
        <w:t>2、成交人本声明函随成交结果同时公布，接受其他供应商和社会监督。</w:t>
      </w:r>
    </w:p>
    <w:p w14:paraId="7B08A285">
      <w:pPr>
        <w:spacing w:line="360" w:lineRule="auto"/>
        <w:ind w:firstLine="480"/>
        <w:outlineLvl w:val="0"/>
        <w:rPr>
          <w:rFonts w:hint="eastAsia" w:ascii="仿宋" w:hAnsi="仿宋" w:eastAsia="仿宋" w:cs="仿宋"/>
          <w:b/>
          <w:kern w:val="44"/>
          <w:sz w:val="24"/>
          <w:szCs w:val="24"/>
          <w:highlight w:val="none"/>
        </w:rPr>
      </w:pPr>
      <w:r>
        <w:rPr>
          <w:rFonts w:hint="eastAsia" w:ascii="仿宋" w:hAnsi="仿宋" w:eastAsia="仿宋" w:cs="仿宋"/>
          <w:highlight w:val="none"/>
        </w:rPr>
        <w:br w:type="page"/>
      </w:r>
      <w:bookmarkStart w:id="108" w:name="_Toc9943_WPSOffice_Level1"/>
      <w:bookmarkEnd w:id="108"/>
      <w:bookmarkStart w:id="109" w:name="_Toc12276"/>
      <w:bookmarkEnd w:id="109"/>
      <w:bookmarkStart w:id="110" w:name="_Toc14824"/>
      <w:r>
        <w:rPr>
          <w:rFonts w:hint="eastAsia" w:ascii="仿宋" w:hAnsi="仿宋" w:eastAsia="仿宋" w:cs="仿宋"/>
          <w:b/>
          <w:kern w:val="44"/>
          <w:sz w:val="24"/>
          <w:szCs w:val="24"/>
          <w:highlight w:val="none"/>
        </w:rPr>
        <w:t>附件</w:t>
      </w:r>
      <w:bookmarkEnd w:id="110"/>
      <w:r>
        <w:rPr>
          <w:rFonts w:hint="eastAsia" w:ascii="仿宋" w:hAnsi="仿宋" w:eastAsia="仿宋" w:cs="仿宋"/>
          <w:b/>
          <w:kern w:val="44"/>
          <w:sz w:val="24"/>
          <w:szCs w:val="24"/>
          <w:highlight w:val="none"/>
        </w:rPr>
        <w:t>3：</w:t>
      </w:r>
      <w:r>
        <w:rPr>
          <w:rFonts w:hint="eastAsia" w:ascii="仿宋" w:hAnsi="仿宋" w:eastAsia="仿宋" w:cs="仿宋"/>
          <w:b/>
          <w:sz w:val="24"/>
          <w:szCs w:val="24"/>
          <w:highlight w:val="none"/>
        </w:rPr>
        <w:t>（符合政策要求，并申请按监狱企业投标者提供）</w:t>
      </w:r>
      <w:r>
        <w:rPr>
          <w:rFonts w:hint="eastAsia" w:ascii="仿宋" w:hAnsi="仿宋" w:eastAsia="仿宋" w:cs="仿宋"/>
          <w:b/>
          <w:kern w:val="44"/>
          <w:sz w:val="24"/>
          <w:szCs w:val="24"/>
          <w:highlight w:val="none"/>
        </w:rPr>
        <w:t>：</w:t>
      </w:r>
    </w:p>
    <w:p w14:paraId="6FCF209F">
      <w:pPr>
        <w:spacing w:line="360" w:lineRule="auto"/>
        <w:ind w:firstLine="504"/>
        <w:rPr>
          <w:rFonts w:hint="eastAsia" w:ascii="仿宋" w:hAnsi="仿宋" w:eastAsia="仿宋" w:cs="仿宋"/>
          <w:spacing w:val="6"/>
          <w:sz w:val="24"/>
          <w:szCs w:val="24"/>
          <w:highlight w:val="none"/>
        </w:rPr>
      </w:pPr>
      <w:r>
        <w:rPr>
          <w:rFonts w:hint="eastAsia" w:ascii="仿宋" w:hAnsi="仿宋" w:eastAsia="仿宋" w:cs="仿宋"/>
          <w:spacing w:val="6"/>
          <w:sz w:val="24"/>
          <w:szCs w:val="24"/>
          <w:highlight w:val="none"/>
        </w:rPr>
        <w:t xml:space="preserve"> </w:t>
      </w:r>
    </w:p>
    <w:p w14:paraId="315AC651">
      <w:pPr>
        <w:spacing w:line="360" w:lineRule="auto"/>
        <w:ind w:firstLine="506"/>
        <w:jc w:val="center"/>
        <w:outlineLvl w:val="0"/>
        <w:rPr>
          <w:rFonts w:hint="eastAsia" w:ascii="仿宋" w:hAnsi="仿宋" w:eastAsia="仿宋" w:cs="仿宋"/>
          <w:b/>
          <w:spacing w:val="6"/>
          <w:sz w:val="24"/>
          <w:szCs w:val="24"/>
          <w:highlight w:val="none"/>
        </w:rPr>
      </w:pPr>
      <w:bookmarkStart w:id="111" w:name="_Toc27652"/>
      <w:bookmarkEnd w:id="111"/>
      <w:r>
        <w:rPr>
          <w:rFonts w:hint="eastAsia" w:ascii="仿宋" w:hAnsi="仿宋" w:eastAsia="仿宋" w:cs="仿宋"/>
          <w:b/>
          <w:spacing w:val="6"/>
          <w:sz w:val="24"/>
          <w:szCs w:val="24"/>
          <w:highlight w:val="none"/>
        </w:rPr>
        <w:t>监狱企业证明</w:t>
      </w:r>
    </w:p>
    <w:p w14:paraId="02443421">
      <w:pPr>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4BDE8894">
      <w:pPr>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54AF1DC9">
      <w:pPr>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69CF7D0F">
      <w:pPr>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6B75FE8B">
      <w:pPr>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提供由省级以上监狱管理局、戒毒管理局（含新疆生产建设兵团）出具的属于监狱企业的证明文件。</w:t>
      </w:r>
    </w:p>
    <w:p w14:paraId="178850FE">
      <w:pPr>
        <w:spacing w:line="360" w:lineRule="auto"/>
        <w:ind w:firstLine="482"/>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w:t>
      </w:r>
    </w:p>
    <w:p w14:paraId="7F1FB5F0">
      <w:pPr>
        <w:spacing w:line="360" w:lineRule="auto"/>
        <w:ind w:firstLine="482"/>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w:t>
      </w:r>
    </w:p>
    <w:p w14:paraId="1F3012DD">
      <w:pPr>
        <w:spacing w:line="360" w:lineRule="auto"/>
        <w:ind w:firstLine="482"/>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w:t>
      </w:r>
    </w:p>
    <w:p w14:paraId="36FC24CA">
      <w:pPr>
        <w:spacing w:line="360" w:lineRule="auto"/>
        <w:ind w:firstLine="482"/>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w:t>
      </w:r>
    </w:p>
    <w:p w14:paraId="7261AA35">
      <w:pPr>
        <w:spacing w:line="360" w:lineRule="auto"/>
        <w:ind w:firstLine="482"/>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w:t>
      </w:r>
    </w:p>
    <w:p w14:paraId="0A864D0E">
      <w:pPr>
        <w:spacing w:line="360" w:lineRule="auto"/>
        <w:ind w:firstLine="482"/>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w:t>
      </w:r>
    </w:p>
    <w:p w14:paraId="28C75314">
      <w:pPr>
        <w:spacing w:line="360" w:lineRule="auto"/>
        <w:ind w:firstLine="482"/>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w:t>
      </w:r>
    </w:p>
    <w:p w14:paraId="393D9245">
      <w:pPr>
        <w:spacing w:line="360" w:lineRule="auto"/>
        <w:ind w:firstLine="482"/>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 </w:t>
      </w:r>
    </w:p>
    <w:p w14:paraId="7A67E53E">
      <w:pPr>
        <w:spacing w:line="360" w:lineRule="auto"/>
        <w:ind w:firstLine="482"/>
        <w:rPr>
          <w:rFonts w:hint="eastAsia" w:ascii="仿宋" w:hAnsi="仿宋" w:eastAsia="仿宋" w:cs="仿宋"/>
          <w:b/>
          <w:sz w:val="24"/>
          <w:szCs w:val="24"/>
          <w:highlight w:val="none"/>
        </w:rPr>
      </w:pPr>
      <w:r>
        <w:rPr>
          <w:rFonts w:hint="eastAsia" w:ascii="仿宋" w:hAnsi="仿宋" w:eastAsia="仿宋" w:cs="仿宋"/>
          <w:b/>
          <w:sz w:val="24"/>
          <w:szCs w:val="24"/>
          <w:highlight w:val="none"/>
        </w:rPr>
        <w:t>注：成交人的本证明文件随中标结果同时公布，接受其他投标人和社会监督。</w:t>
      </w:r>
    </w:p>
    <w:p w14:paraId="3F4E4E38">
      <w:pPr>
        <w:spacing w:line="360" w:lineRule="auto"/>
        <w:ind w:firstLine="480"/>
        <w:rPr>
          <w:rFonts w:hint="eastAsia" w:ascii="仿宋" w:hAnsi="仿宋" w:eastAsia="仿宋" w:cs="仿宋"/>
          <w:highlight w:val="none"/>
        </w:rPr>
      </w:pPr>
      <w:r>
        <w:rPr>
          <w:rFonts w:hint="eastAsia" w:ascii="仿宋" w:hAnsi="仿宋" w:eastAsia="仿宋" w:cs="仿宋"/>
          <w:highlight w:val="none"/>
        </w:rPr>
        <w:t xml:space="preserve"> </w:t>
      </w:r>
    </w:p>
    <w:p w14:paraId="15EF5425">
      <w:pPr>
        <w:spacing w:line="360" w:lineRule="auto"/>
        <w:ind w:firstLine="480"/>
        <w:rPr>
          <w:rFonts w:hint="eastAsia" w:ascii="仿宋" w:hAnsi="仿宋" w:eastAsia="仿宋" w:cs="仿宋"/>
          <w:highlight w:val="none"/>
        </w:rPr>
      </w:pPr>
      <w:r>
        <w:rPr>
          <w:rFonts w:hint="eastAsia" w:ascii="仿宋" w:hAnsi="仿宋" w:eastAsia="仿宋" w:cs="仿宋"/>
          <w:highlight w:val="none"/>
        </w:rPr>
        <w:t xml:space="preserve"> </w:t>
      </w:r>
    </w:p>
    <w:p w14:paraId="65407995">
      <w:pPr>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2003A118">
      <w:pPr>
        <w:spacing w:line="360" w:lineRule="auto"/>
        <w:rPr>
          <w:rFonts w:hint="eastAsia" w:ascii="仿宋" w:hAnsi="仿宋" w:eastAsia="仿宋" w:cs="仿宋"/>
          <w:highlight w:val="none"/>
        </w:rPr>
      </w:pPr>
      <w:r>
        <w:rPr>
          <w:rFonts w:hint="eastAsia" w:ascii="仿宋" w:hAnsi="仿宋" w:eastAsia="仿宋" w:cs="仿宋"/>
          <w:highlight w:val="none"/>
        </w:rPr>
        <w:t xml:space="preserve"> </w:t>
      </w:r>
    </w:p>
    <w:p w14:paraId="61153AF9">
      <w:pPr>
        <w:spacing w:line="360" w:lineRule="auto"/>
        <w:rPr>
          <w:rFonts w:hint="eastAsia" w:ascii="仿宋" w:hAnsi="仿宋" w:eastAsia="仿宋" w:cs="仿宋"/>
          <w:highlight w:val="none"/>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BD128">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15ED99">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015ED99">
                    <w:pPr>
                      <w:pStyle w:val="9"/>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DF5A92"/>
    <w:multiLevelType w:val="multilevel"/>
    <w:tmpl w:val="53DF5A92"/>
    <w:lvl w:ilvl="0" w:tentative="0">
      <w:start w:val="16"/>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033"/>
    <w:rsid w:val="00467239"/>
    <w:rsid w:val="004A34BB"/>
    <w:rsid w:val="00576D44"/>
    <w:rsid w:val="005B093F"/>
    <w:rsid w:val="00682033"/>
    <w:rsid w:val="00DE2531"/>
    <w:rsid w:val="0CCC4A95"/>
    <w:rsid w:val="135A78AD"/>
    <w:rsid w:val="15A24B3A"/>
    <w:rsid w:val="247D29E1"/>
    <w:rsid w:val="28997179"/>
    <w:rsid w:val="2E967791"/>
    <w:rsid w:val="307F6A8C"/>
    <w:rsid w:val="56B80F8A"/>
    <w:rsid w:val="5E7C406D"/>
    <w:rsid w:val="677037A8"/>
    <w:rsid w:val="7A934E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nhideWhenUsed="0" w:uiPriority="9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qFormat="1" w:uiPriority="99"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宋体" w:cs="Arial"/>
      <w:color w:val="000000"/>
      <w:kern w:val="0"/>
      <w:sz w:val="21"/>
      <w:szCs w:val="21"/>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21"/>
    <w:qFormat/>
    <w:uiPriority w:val="99"/>
    <w:pPr>
      <w:spacing w:before="194" w:after="100" w:afterAutospacing="1"/>
      <w:ind w:left="470"/>
      <w:jc w:val="center"/>
      <w:outlineLvl w:val="1"/>
    </w:pPr>
    <w:rPr>
      <w:rFonts w:ascii="宋体" w:hAnsi="宋体" w:cs="Times New Roman"/>
      <w:sz w:val="37"/>
      <w:szCs w:val="37"/>
    </w:rPr>
  </w:style>
  <w:style w:type="paragraph" w:styleId="4">
    <w:name w:val="heading 3"/>
    <w:basedOn w:val="1"/>
    <w:next w:val="1"/>
    <w:link w:val="22"/>
    <w:qFormat/>
    <w:uiPriority w:val="99"/>
    <w:pPr>
      <w:keepNext/>
      <w:keepLines/>
      <w:widowControl w:val="0"/>
      <w:spacing w:line="412" w:lineRule="auto"/>
      <w:outlineLvl w:val="2"/>
    </w:pPr>
    <w:rPr>
      <w:b/>
      <w:sz w:val="32"/>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link w:val="25"/>
    <w:semiHidden/>
    <w:unhideWhenUsed/>
    <w:qFormat/>
    <w:uiPriority w:val="99"/>
  </w:style>
  <w:style w:type="paragraph" w:styleId="6">
    <w:name w:val="Body Text Indent"/>
    <w:basedOn w:val="1"/>
    <w:unhideWhenUsed/>
    <w:qFormat/>
    <w:uiPriority w:val="99"/>
    <w:pPr>
      <w:spacing w:after="120"/>
      <w:ind w:left="420" w:leftChars="200"/>
    </w:pPr>
  </w:style>
  <w:style w:type="paragraph" w:styleId="7">
    <w:name w:val="Plain Text"/>
    <w:basedOn w:val="1"/>
    <w:link w:val="26"/>
    <w:unhideWhenUsed/>
    <w:qFormat/>
    <w:uiPriority w:val="99"/>
    <w:rPr>
      <w:rFonts w:ascii="宋体" w:hAnsi="Courier New" w:cs="Courier New"/>
    </w:rPr>
  </w:style>
  <w:style w:type="paragraph" w:styleId="8">
    <w:name w:val="Balloon Text"/>
    <w:basedOn w:val="1"/>
    <w:link w:val="35"/>
    <w:semiHidden/>
    <w:unhideWhenUsed/>
    <w:qFormat/>
    <w:uiPriority w:val="99"/>
    <w:rPr>
      <w:sz w:val="18"/>
      <w:szCs w:val="18"/>
    </w:rPr>
  </w:style>
  <w:style w:type="paragraph" w:styleId="9">
    <w:name w:val="footer"/>
    <w:basedOn w:val="1"/>
    <w:link w:val="30"/>
    <w:unhideWhenUsed/>
    <w:qFormat/>
    <w:uiPriority w:val="99"/>
    <w:rPr>
      <w:sz w:val="18"/>
      <w:szCs w:val="18"/>
    </w:rPr>
  </w:style>
  <w:style w:type="paragraph" w:styleId="10">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Body Text 2"/>
    <w:basedOn w:val="1"/>
    <w:next w:val="5"/>
    <w:link w:val="24"/>
    <w:unhideWhenUsed/>
    <w:qFormat/>
    <w:uiPriority w:val="99"/>
    <w:pPr>
      <w:spacing w:line="360" w:lineRule="auto"/>
    </w:pPr>
    <w:rPr>
      <w:sz w:val="24"/>
      <w:szCs w:val="24"/>
    </w:rPr>
  </w:style>
  <w:style w:type="paragraph" w:styleId="12">
    <w:name w:val="Normal (Web)"/>
    <w:basedOn w:val="1"/>
    <w:unhideWhenUsed/>
    <w:qFormat/>
    <w:uiPriority w:val="99"/>
    <w:pPr>
      <w:kinsoku/>
      <w:autoSpaceDE/>
      <w:autoSpaceDN/>
      <w:adjustRightInd/>
      <w:snapToGrid/>
      <w:spacing w:before="100" w:beforeAutospacing="1" w:after="100" w:afterAutospacing="1"/>
      <w:textAlignment w:val="auto"/>
    </w:pPr>
    <w:rPr>
      <w:rFonts w:ascii="宋体" w:hAnsi="宋体" w:cs="宋体"/>
      <w:color w:val="auto"/>
      <w:sz w:val="24"/>
      <w:szCs w:val="24"/>
    </w:rPr>
  </w:style>
  <w:style w:type="paragraph" w:styleId="13">
    <w:name w:val="Body Text First Indent 2"/>
    <w:basedOn w:val="6"/>
    <w:next w:val="14"/>
    <w:qFormat/>
    <w:uiPriority w:val="99"/>
    <w:pPr>
      <w:ind w:firstLine="420" w:firstLineChars="200"/>
    </w:pPr>
  </w:style>
  <w:style w:type="paragraph" w:customStyle="1" w:styleId="14">
    <w:name w:val="样式 正文首行缩进 2 + Arial"/>
    <w:basedOn w:val="1"/>
    <w:next w:val="1"/>
    <w:qFormat/>
    <w:uiPriority w:val="0"/>
    <w:pPr>
      <w:spacing w:after="120" w:line="320" w:lineRule="atLeast"/>
      <w:ind w:firstLine="200" w:firstLineChars="200"/>
    </w:pPr>
    <w:rPr>
      <w:rFonts w:ascii="Arial" w:hAnsi="Arial"/>
      <w:kern w:val="0"/>
    </w:rPr>
  </w:style>
  <w:style w:type="table" w:styleId="16">
    <w:name w:val="Table Grid"/>
    <w:basedOn w:val="1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Strong"/>
    <w:basedOn w:val="17"/>
    <w:qFormat/>
    <w:uiPriority w:val="0"/>
    <w:rPr>
      <w:b/>
      <w:bCs/>
    </w:rPr>
  </w:style>
  <w:style w:type="character" w:styleId="19">
    <w:name w:val="FollowedHyperlink"/>
    <w:basedOn w:val="17"/>
    <w:unhideWhenUsed/>
    <w:qFormat/>
    <w:uiPriority w:val="99"/>
    <w:rPr>
      <w:color w:val="800080"/>
      <w:u w:val="single"/>
    </w:rPr>
  </w:style>
  <w:style w:type="character" w:styleId="20">
    <w:name w:val="Hyperlink"/>
    <w:basedOn w:val="17"/>
    <w:unhideWhenUsed/>
    <w:qFormat/>
    <w:uiPriority w:val="99"/>
    <w:rPr>
      <w:color w:val="0000FF"/>
      <w:u w:val="single"/>
    </w:rPr>
  </w:style>
  <w:style w:type="character" w:customStyle="1" w:styleId="21">
    <w:name w:val="标题 2 Char"/>
    <w:basedOn w:val="17"/>
    <w:link w:val="3"/>
    <w:qFormat/>
    <w:uiPriority w:val="99"/>
    <w:rPr>
      <w:rFonts w:ascii="宋体" w:hAnsi="宋体" w:eastAsia="宋体" w:cs="Times New Roman"/>
      <w:color w:val="000000"/>
      <w:kern w:val="0"/>
      <w:sz w:val="37"/>
      <w:szCs w:val="37"/>
    </w:rPr>
  </w:style>
  <w:style w:type="character" w:customStyle="1" w:styleId="22">
    <w:name w:val="标题 3 Char"/>
    <w:basedOn w:val="17"/>
    <w:link w:val="4"/>
    <w:qFormat/>
    <w:uiPriority w:val="99"/>
    <w:rPr>
      <w:rFonts w:ascii="Arial" w:hAnsi="Arial" w:eastAsia="宋体" w:cs="Arial"/>
      <w:b/>
      <w:color w:val="000000"/>
      <w:kern w:val="0"/>
      <w:sz w:val="32"/>
      <w:szCs w:val="32"/>
    </w:rPr>
  </w:style>
  <w:style w:type="paragraph" w:customStyle="1" w:styleId="23">
    <w:name w:val="Default"/>
    <w:basedOn w:val="1"/>
    <w:next w:val="1"/>
    <w:qFormat/>
    <w:uiPriority w:val="0"/>
    <w:pPr>
      <w:widowControl w:val="0"/>
      <w:kinsoku/>
      <w:snapToGrid/>
      <w:textAlignment w:val="auto"/>
    </w:pPr>
    <w:rPr>
      <w:rFonts w:ascii="宋体" w:hAnsi="Calibri" w:cs="宋体"/>
      <w:sz w:val="24"/>
      <w:szCs w:val="24"/>
    </w:rPr>
  </w:style>
  <w:style w:type="character" w:customStyle="1" w:styleId="24">
    <w:name w:val="正文文本 2 Char"/>
    <w:basedOn w:val="17"/>
    <w:link w:val="11"/>
    <w:qFormat/>
    <w:uiPriority w:val="99"/>
    <w:rPr>
      <w:rFonts w:ascii="Arial" w:hAnsi="Arial" w:eastAsia="宋体" w:cs="Arial"/>
      <w:color w:val="000000"/>
      <w:kern w:val="0"/>
      <w:sz w:val="24"/>
      <w:szCs w:val="24"/>
    </w:rPr>
  </w:style>
  <w:style w:type="character" w:customStyle="1" w:styleId="25">
    <w:name w:val="正文文本 Char"/>
    <w:basedOn w:val="17"/>
    <w:link w:val="5"/>
    <w:semiHidden/>
    <w:qFormat/>
    <w:uiPriority w:val="99"/>
    <w:rPr>
      <w:rFonts w:ascii="Arial" w:hAnsi="Arial" w:eastAsia="宋体" w:cs="Arial"/>
      <w:color w:val="000000"/>
      <w:kern w:val="0"/>
      <w:szCs w:val="21"/>
    </w:rPr>
  </w:style>
  <w:style w:type="character" w:customStyle="1" w:styleId="26">
    <w:name w:val="纯文本 Char"/>
    <w:basedOn w:val="17"/>
    <w:link w:val="7"/>
    <w:qFormat/>
    <w:uiPriority w:val="99"/>
    <w:rPr>
      <w:rFonts w:ascii="宋体" w:hAnsi="Courier New" w:eastAsia="宋体" w:cs="Courier New"/>
      <w:color w:val="000000"/>
      <w:kern w:val="0"/>
      <w:szCs w:val="21"/>
    </w:rPr>
  </w:style>
  <w:style w:type="paragraph" w:customStyle="1" w:styleId="27">
    <w:name w:val="Table Text"/>
    <w:basedOn w:val="1"/>
    <w:semiHidden/>
    <w:qFormat/>
    <w:uiPriority w:val="0"/>
    <w:rPr>
      <w:rFonts w:ascii="宋体" w:hAnsi="宋体" w:cs="宋体"/>
      <w:sz w:val="20"/>
      <w:szCs w:val="20"/>
    </w:rPr>
  </w:style>
  <w:style w:type="paragraph" w:customStyle="1" w:styleId="28">
    <w:name w:val="cjk"/>
    <w:basedOn w:val="1"/>
    <w:qFormat/>
    <w:uiPriority w:val="0"/>
    <w:pPr>
      <w:spacing w:line="480" w:lineRule="auto"/>
    </w:pPr>
    <w:rPr>
      <w:rFonts w:ascii="宋体" w:hAnsi="宋体" w:eastAsia="Arial" w:cs="宋体"/>
      <w:sz w:val="24"/>
      <w:szCs w:val="24"/>
    </w:rPr>
  </w:style>
  <w:style w:type="paragraph" w:customStyle="1" w:styleId="29">
    <w:name w:val="Table Paragraph"/>
    <w:basedOn w:val="1"/>
    <w:qFormat/>
    <w:uiPriority w:val="0"/>
    <w:rPr>
      <w:rFonts w:ascii="宋体" w:hAnsi="宋体" w:eastAsia="Arial" w:cs="宋体"/>
      <w:sz w:val="22"/>
      <w:szCs w:val="22"/>
    </w:rPr>
  </w:style>
  <w:style w:type="character" w:customStyle="1" w:styleId="30">
    <w:name w:val="页脚 Char"/>
    <w:basedOn w:val="17"/>
    <w:link w:val="9"/>
    <w:qFormat/>
    <w:uiPriority w:val="99"/>
    <w:rPr>
      <w:rFonts w:ascii="Arial" w:hAnsi="Arial" w:eastAsia="宋体" w:cs="Arial"/>
      <w:color w:val="000000"/>
      <w:kern w:val="0"/>
      <w:sz w:val="18"/>
      <w:szCs w:val="18"/>
    </w:rPr>
  </w:style>
  <w:style w:type="character" w:customStyle="1" w:styleId="31">
    <w:name w:val="10"/>
    <w:basedOn w:val="17"/>
    <w:qFormat/>
    <w:uiPriority w:val="0"/>
    <w:rPr>
      <w:rFonts w:hint="default" w:ascii="Calibri" w:hAnsi="Calibri" w:cs="Calibri"/>
    </w:rPr>
  </w:style>
  <w:style w:type="character" w:customStyle="1" w:styleId="32">
    <w:name w:val="15"/>
    <w:basedOn w:val="17"/>
    <w:qFormat/>
    <w:uiPriority w:val="0"/>
    <w:rPr>
      <w:rFonts w:hint="default" w:ascii="Calibri" w:hAnsi="Calibri" w:cs="Calibri"/>
      <w:b/>
    </w:rPr>
  </w:style>
  <w:style w:type="character" w:customStyle="1" w:styleId="33">
    <w:name w:val="16"/>
    <w:basedOn w:val="17"/>
    <w:qFormat/>
    <w:uiPriority w:val="0"/>
    <w:rPr>
      <w:rFonts w:hint="default" w:ascii="Times New Roman" w:hAnsi="Times New Roman" w:eastAsia="宋体" w:cs="Times New Roman"/>
    </w:rPr>
  </w:style>
  <w:style w:type="table" w:customStyle="1" w:styleId="34">
    <w:name w:val="Table Normal"/>
    <w:basedOn w:val="15"/>
    <w:qFormat/>
    <w:uiPriority w:val="0"/>
    <w:rPr>
      <w:rFonts w:ascii="Times New Roman" w:hAnsi="Times New Roman" w:eastAsia="Times New Roman" w:cs="Times New Roman"/>
      <w:kern w:val="0"/>
      <w:sz w:val="20"/>
      <w:szCs w:val="20"/>
    </w:rPr>
    <w:tblPr>
      <w:tblCellMar>
        <w:left w:w="0" w:type="dxa"/>
        <w:right w:w="0" w:type="dxa"/>
      </w:tblCellMar>
    </w:tblPr>
  </w:style>
  <w:style w:type="character" w:customStyle="1" w:styleId="35">
    <w:name w:val="批注框文本 Char"/>
    <w:basedOn w:val="17"/>
    <w:link w:val="8"/>
    <w:semiHidden/>
    <w:qFormat/>
    <w:uiPriority w:val="99"/>
    <w:rPr>
      <w:rFonts w:ascii="Arial" w:hAnsi="Arial" w:eastAsia="宋体" w:cs="Arial"/>
      <w:color w:val="000000"/>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56</Pages>
  <Words>25671</Words>
  <Characters>27195</Characters>
  <Lines>191</Lines>
  <Paragraphs>54</Paragraphs>
  <TotalTime>29</TotalTime>
  <ScaleCrop>false</ScaleCrop>
  <LinksUpToDate>false</LinksUpToDate>
  <CharactersWithSpaces>28755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2024-08-23T08:24:00Z</dcterms:created>
  <dc:creator>信投为华企业管理（河南）有限公司:刘永杰</dc:creator>
  <cp:lastModifiedBy>信投为华企业管理（河南）有限公司:刘永杰</cp:lastModifiedBy>
  <dcterms:modified xsi:type="dcterms:W3CDTF">2025-11-19T01:28:21Z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eyJoZGlkIjoiZGViNzRiYTEzMGJkNzI2M2UzZGNlMjIwMWZiOWUxMGUiLCJ1c2VySWQiOiIxNTUxMjQwODcyIn0=</vt:lpwstr>
  </property>
  <property fmtid="{D5CDD505-2E9C-101B-9397-08002B2CF9AE}" pid="3" name="KSOProductBuildVer">
    <vt:lpwstr>2052-12.1.0.23542</vt:lpwstr>
  </property>
  <property fmtid="{D5CDD505-2E9C-101B-9397-08002B2CF9AE}" pid="4" name="ICV">
    <vt:lpwstr>1A93AF225F444A9EB7C758CDC6379FB6_12</vt:lpwstr>
  </property>
</Properties>
</file>